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3F83C" w14:textId="7EA0ABC2" w:rsidR="009736EA" w:rsidRPr="00117156" w:rsidRDefault="00827EFA" w:rsidP="004D28EC">
      <w:pPr>
        <w:tabs>
          <w:tab w:val="left" w:pos="7088"/>
        </w:tabs>
        <w:spacing w:line="240" w:lineRule="auto"/>
        <w:ind w:firstLine="1134"/>
        <w:jc w:val="both"/>
        <w:rPr>
          <w:rFonts w:cs="Calibri"/>
          <w:color w:val="0055A1"/>
        </w:rPr>
      </w:pPr>
      <w:r w:rsidRPr="00117156">
        <w:rPr>
          <w:rFonts w:cs="Calibri"/>
          <w:b/>
          <w:noProof/>
          <w:lang w:eastAsia="sk-SK"/>
        </w:rPr>
        <w:drawing>
          <wp:inline distT="0" distB="0" distL="0" distR="0" wp14:anchorId="240FF0B1" wp14:editId="61E739C9">
            <wp:extent cx="2311400" cy="533400"/>
            <wp:effectExtent l="0" t="0" r="0" b="0"/>
            <wp:docPr id="4" name="Obrázok 4" descr="logo mirri farebne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rri farebne s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6F4A8" w14:textId="77777777" w:rsidR="009736EA" w:rsidRPr="00117156" w:rsidRDefault="009736EA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61B4A938" w14:textId="77777777" w:rsidR="009736EA" w:rsidRPr="00117156" w:rsidRDefault="009736EA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6ACCC187" w14:textId="77777777" w:rsidR="009736EA" w:rsidRPr="00117156" w:rsidRDefault="009736EA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4C293F5E" w14:textId="77777777" w:rsidR="009736EA" w:rsidRPr="00117156" w:rsidRDefault="009736EA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6570E591" w14:textId="77777777" w:rsidR="009736EA" w:rsidRPr="00117156" w:rsidRDefault="009736EA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3723E583" w14:textId="77777777" w:rsidR="009736EA" w:rsidRPr="00117156" w:rsidRDefault="009736EA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77289366" w14:textId="00814498" w:rsidR="009736EA" w:rsidRPr="00117156" w:rsidRDefault="009736EA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7A313CB4" w14:textId="64D056F2" w:rsidR="00121041" w:rsidRPr="00117156" w:rsidRDefault="00121041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27A47B3A" w14:textId="1958639C" w:rsidR="00121041" w:rsidRPr="00117156" w:rsidRDefault="00121041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6EF2152F" w14:textId="4BE11E83" w:rsidR="00121041" w:rsidRPr="00117156" w:rsidRDefault="00121041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165C6E52" w14:textId="1F08F5B4" w:rsidR="00121041" w:rsidRPr="00117156" w:rsidRDefault="00121041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35C6AED7" w14:textId="7BBE2392" w:rsidR="00121041" w:rsidRPr="00117156" w:rsidRDefault="00121041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486782BD" w14:textId="5FAFBA9E" w:rsidR="00121041" w:rsidRPr="00117156" w:rsidRDefault="00121041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73971869" w14:textId="28DACF6F" w:rsidR="00121041" w:rsidRPr="00117156" w:rsidRDefault="00121041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6AABB4D3" w14:textId="77777777" w:rsidR="009736EA" w:rsidRPr="00117156" w:rsidRDefault="009736EA" w:rsidP="004D28EC">
      <w:pPr>
        <w:spacing w:line="240" w:lineRule="auto"/>
        <w:ind w:firstLine="1134"/>
        <w:jc w:val="both"/>
        <w:rPr>
          <w:rFonts w:cs="Calibri"/>
          <w:color w:val="0055A1"/>
        </w:rPr>
      </w:pPr>
    </w:p>
    <w:p w14:paraId="5DC87CC4" w14:textId="77777777" w:rsidR="00CF7B22" w:rsidRPr="00117156" w:rsidRDefault="00CF7B22" w:rsidP="004D28EC">
      <w:pPr>
        <w:spacing w:line="240" w:lineRule="auto"/>
        <w:jc w:val="center"/>
        <w:rPr>
          <w:rFonts w:cs="Calibri"/>
          <w:color w:val="0055A1"/>
        </w:rPr>
      </w:pPr>
    </w:p>
    <w:p w14:paraId="634F3574" w14:textId="09DD19D6" w:rsidR="005E6D01" w:rsidRPr="00117156" w:rsidRDefault="007B1276" w:rsidP="004D28EC">
      <w:pPr>
        <w:spacing w:line="240" w:lineRule="auto"/>
        <w:jc w:val="center"/>
        <w:rPr>
          <w:rFonts w:cs="Calibri"/>
          <w:color w:val="0055A1"/>
          <w:spacing w:val="10"/>
          <w:sz w:val="40"/>
          <w:szCs w:val="40"/>
        </w:rPr>
      </w:pPr>
      <w:r w:rsidRPr="00117156">
        <w:rPr>
          <w:rFonts w:cs="Calibri"/>
          <w:color w:val="0055A1"/>
          <w:spacing w:val="10"/>
          <w:sz w:val="40"/>
          <w:szCs w:val="40"/>
        </w:rPr>
        <w:t>Informácia o stave i</w:t>
      </w:r>
      <w:r w:rsidR="00691148" w:rsidRPr="00117156">
        <w:rPr>
          <w:rFonts w:cs="Calibri"/>
          <w:color w:val="0055A1"/>
          <w:spacing w:val="10"/>
          <w:sz w:val="40"/>
          <w:szCs w:val="40"/>
        </w:rPr>
        <w:t>mplementáci</w:t>
      </w:r>
      <w:r w:rsidRPr="00117156">
        <w:rPr>
          <w:rFonts w:cs="Calibri"/>
          <w:color w:val="0055A1"/>
          <w:spacing w:val="10"/>
          <w:sz w:val="40"/>
          <w:szCs w:val="40"/>
        </w:rPr>
        <w:t>e</w:t>
      </w:r>
      <w:r w:rsidR="00FD3D3B">
        <w:rPr>
          <w:rFonts w:cs="Calibri"/>
          <w:color w:val="0055A1"/>
          <w:spacing w:val="10"/>
          <w:sz w:val="40"/>
          <w:szCs w:val="40"/>
        </w:rPr>
        <w:t xml:space="preserve"> </w:t>
      </w:r>
      <w:r w:rsidR="00691148" w:rsidRPr="00117156">
        <w:rPr>
          <w:rFonts w:cs="Calibri"/>
          <w:color w:val="0055A1"/>
          <w:spacing w:val="10"/>
          <w:sz w:val="40"/>
          <w:szCs w:val="40"/>
        </w:rPr>
        <w:t>európskych štrukturálnych a investičných</w:t>
      </w:r>
      <w:r w:rsidR="00664F67" w:rsidRPr="00117156">
        <w:rPr>
          <w:rFonts w:cs="Calibri"/>
          <w:color w:val="0055A1"/>
          <w:spacing w:val="10"/>
          <w:sz w:val="40"/>
          <w:szCs w:val="40"/>
        </w:rPr>
        <w:t xml:space="preserve"> fondov</w:t>
      </w:r>
      <w:r w:rsidR="00FD3D3B">
        <w:rPr>
          <w:rFonts w:cs="Calibri"/>
          <w:color w:val="0055A1"/>
          <w:spacing w:val="10"/>
          <w:sz w:val="40"/>
          <w:szCs w:val="40"/>
        </w:rPr>
        <w:t xml:space="preserve"> 2014 – 2020</w:t>
      </w:r>
      <w:r w:rsidR="007E39C0" w:rsidRPr="00117156">
        <w:rPr>
          <w:rFonts w:cs="Calibri"/>
          <w:color w:val="0055A1"/>
          <w:spacing w:val="10"/>
          <w:sz w:val="40"/>
          <w:szCs w:val="40"/>
        </w:rPr>
        <w:t xml:space="preserve"> a Programu Slovensko 2021</w:t>
      </w:r>
      <w:r w:rsidR="00A15746" w:rsidRPr="00117156">
        <w:rPr>
          <w:rFonts w:cs="Calibri"/>
          <w:color w:val="0055A1"/>
          <w:spacing w:val="10"/>
          <w:sz w:val="40"/>
          <w:szCs w:val="40"/>
        </w:rPr>
        <w:t xml:space="preserve"> – </w:t>
      </w:r>
      <w:r w:rsidR="007E39C0" w:rsidRPr="00117156">
        <w:rPr>
          <w:rFonts w:cs="Calibri"/>
          <w:color w:val="0055A1"/>
          <w:spacing w:val="10"/>
          <w:sz w:val="40"/>
          <w:szCs w:val="40"/>
        </w:rPr>
        <w:t>2027</w:t>
      </w:r>
      <w:r w:rsidR="00664F67" w:rsidRPr="00117156">
        <w:rPr>
          <w:rFonts w:cs="Calibri"/>
          <w:color w:val="0055A1"/>
          <w:spacing w:val="10"/>
          <w:sz w:val="40"/>
          <w:szCs w:val="40"/>
        </w:rPr>
        <w:t xml:space="preserve"> </w:t>
      </w:r>
    </w:p>
    <w:p w14:paraId="1F7886D1" w14:textId="1390E35A" w:rsidR="0005665D" w:rsidRPr="00117156" w:rsidRDefault="00664F67" w:rsidP="004D28EC">
      <w:pPr>
        <w:spacing w:line="240" w:lineRule="auto"/>
        <w:jc w:val="center"/>
        <w:rPr>
          <w:rFonts w:cs="Calibri"/>
          <w:color w:val="0055A1"/>
          <w:spacing w:val="10"/>
          <w:sz w:val="40"/>
          <w:szCs w:val="40"/>
        </w:rPr>
      </w:pPr>
      <w:r w:rsidRPr="00117156">
        <w:rPr>
          <w:rFonts w:cs="Calibri"/>
          <w:color w:val="0055A1"/>
          <w:spacing w:val="10"/>
          <w:sz w:val="40"/>
          <w:szCs w:val="40"/>
        </w:rPr>
        <w:t xml:space="preserve">k </w:t>
      </w:r>
      <w:r w:rsidR="005A5FC4">
        <w:rPr>
          <w:rFonts w:cs="Calibri"/>
          <w:color w:val="0055A1"/>
          <w:spacing w:val="10"/>
          <w:sz w:val="40"/>
          <w:szCs w:val="40"/>
        </w:rPr>
        <w:t>09</w:t>
      </w:r>
      <w:r w:rsidRPr="00117156">
        <w:rPr>
          <w:rFonts w:cs="Calibri"/>
          <w:color w:val="0055A1"/>
          <w:spacing w:val="10"/>
          <w:sz w:val="40"/>
          <w:szCs w:val="40"/>
        </w:rPr>
        <w:t>.</w:t>
      </w:r>
      <w:r w:rsidR="005A5FC4">
        <w:rPr>
          <w:rFonts w:cs="Calibri"/>
          <w:color w:val="0055A1"/>
          <w:spacing w:val="10"/>
          <w:sz w:val="40"/>
          <w:szCs w:val="40"/>
        </w:rPr>
        <w:t>02</w:t>
      </w:r>
      <w:r w:rsidR="00691148" w:rsidRPr="00117156">
        <w:rPr>
          <w:rFonts w:cs="Calibri"/>
          <w:color w:val="0055A1"/>
          <w:spacing w:val="10"/>
          <w:sz w:val="40"/>
          <w:szCs w:val="40"/>
        </w:rPr>
        <w:t>.202</w:t>
      </w:r>
      <w:r w:rsidR="005A5FC4">
        <w:rPr>
          <w:rFonts w:cs="Calibri"/>
          <w:color w:val="0055A1"/>
          <w:spacing w:val="10"/>
          <w:sz w:val="40"/>
          <w:szCs w:val="40"/>
        </w:rPr>
        <w:t>4</w:t>
      </w:r>
      <w:r w:rsidR="008F5D45" w:rsidRPr="00117156">
        <w:rPr>
          <w:rFonts w:cs="Calibri"/>
          <w:color w:val="0055A1"/>
          <w:spacing w:val="10"/>
          <w:sz w:val="40"/>
          <w:szCs w:val="40"/>
        </w:rPr>
        <w:t xml:space="preserve"> </w:t>
      </w:r>
    </w:p>
    <w:p w14:paraId="7EB875C5" w14:textId="303DA9AE" w:rsidR="00BD7A1E" w:rsidRPr="00117156" w:rsidRDefault="00BD7A1E" w:rsidP="004D28EC">
      <w:pPr>
        <w:spacing w:line="240" w:lineRule="auto"/>
        <w:jc w:val="center"/>
        <w:rPr>
          <w:rFonts w:cs="Calibri"/>
          <w:color w:val="0055A1"/>
          <w:spacing w:val="10"/>
          <w:sz w:val="40"/>
          <w:szCs w:val="40"/>
        </w:rPr>
      </w:pPr>
    </w:p>
    <w:p w14:paraId="1408A81E" w14:textId="002C7C50" w:rsidR="009736EA" w:rsidRPr="00117156" w:rsidRDefault="009736EA" w:rsidP="004D28EC">
      <w:pPr>
        <w:tabs>
          <w:tab w:val="left" w:pos="2610"/>
          <w:tab w:val="center" w:pos="4535"/>
        </w:tabs>
        <w:spacing w:line="240" w:lineRule="auto"/>
        <w:jc w:val="center"/>
        <w:rPr>
          <w:rFonts w:cs="Calibri"/>
          <w:color w:val="0055A1"/>
          <w:spacing w:val="10"/>
          <w:sz w:val="32"/>
          <w:szCs w:val="32"/>
        </w:rPr>
      </w:pPr>
      <w:r w:rsidRPr="00117156">
        <w:rPr>
          <w:rFonts w:cs="Calibri"/>
          <w:color w:val="0055A1"/>
          <w:spacing w:val="10"/>
          <w:sz w:val="32"/>
          <w:szCs w:val="32"/>
        </w:rPr>
        <w:br w:type="page"/>
      </w:r>
    </w:p>
    <w:sdt>
      <w:sdtPr>
        <w:rPr>
          <w:rFonts w:ascii="Calibri" w:eastAsia="Times New Roman" w:hAnsi="Calibri" w:cs="Calibri"/>
          <w:b/>
          <w:color w:val="auto"/>
          <w:sz w:val="22"/>
          <w:szCs w:val="22"/>
          <w:lang w:val="sk-SK" w:eastAsia="ar-SA"/>
        </w:rPr>
        <w:id w:val="1599144012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2B263522" w14:textId="77777777" w:rsidR="009736EA" w:rsidRPr="00117156" w:rsidRDefault="009736EA" w:rsidP="004D28EC">
          <w:pPr>
            <w:pStyle w:val="Hlavikaobsahu"/>
            <w:spacing w:line="240" w:lineRule="auto"/>
            <w:jc w:val="both"/>
            <w:rPr>
              <w:rFonts w:ascii="Calibri" w:hAnsi="Calibri" w:cs="Calibri"/>
              <w:b/>
              <w:sz w:val="22"/>
              <w:szCs w:val="22"/>
              <w:lang w:val="sk-SK"/>
            </w:rPr>
          </w:pPr>
          <w:r w:rsidRPr="00117156">
            <w:rPr>
              <w:rFonts w:ascii="Calibri" w:hAnsi="Calibri" w:cs="Calibri"/>
              <w:b/>
              <w:sz w:val="22"/>
              <w:szCs w:val="22"/>
              <w:lang w:val="sk-SK"/>
            </w:rPr>
            <w:t>Obsah</w:t>
          </w:r>
        </w:p>
        <w:p w14:paraId="318399A0" w14:textId="21DEDF80" w:rsidR="005A7B23" w:rsidRPr="002E189D" w:rsidRDefault="009736EA">
          <w:pPr>
            <w:pStyle w:val="Obsah1"/>
            <w:rPr>
              <w:rFonts w:asciiTheme="minorHAnsi" w:eastAsiaTheme="minorEastAsia" w:hAnsiTheme="minorHAnsi" w:cstheme="minorBidi"/>
              <w:noProof/>
              <w:lang w:eastAsia="sk-SK"/>
            </w:rPr>
          </w:pPr>
          <w:r w:rsidRPr="00850FE3">
            <w:fldChar w:fldCharType="begin"/>
          </w:r>
          <w:r w:rsidRPr="00850FE3">
            <w:instrText xml:space="preserve"> TOC \o "1-3" \h \z \u </w:instrText>
          </w:r>
          <w:r w:rsidRPr="00850FE3">
            <w:fldChar w:fldCharType="separate"/>
          </w:r>
          <w:hyperlink w:anchor="_Toc158989285" w:history="1">
            <w:r w:rsidR="005A7B23" w:rsidRPr="002E189D">
              <w:rPr>
                <w:rStyle w:val="Hypertextovprepojenie"/>
                <w:rFonts w:cs="Calibri"/>
                <w:noProof/>
              </w:rPr>
              <w:t>1.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Implementácia programového obdobia 2014 – 2020 k 09.02.2024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_Toc158989285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3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20A959AE" w14:textId="42255F58" w:rsidR="005A7B23" w:rsidRPr="002E189D" w:rsidRDefault="002E189D">
          <w:pPr>
            <w:pStyle w:val="Obsah2"/>
            <w:rPr>
              <w:rFonts w:asciiTheme="minorHAnsi" w:eastAsiaTheme="minorEastAsia" w:hAnsiTheme="minorHAnsi" w:cstheme="minorBidi"/>
              <w:noProof/>
              <w:lang w:eastAsia="sk-SK"/>
            </w:rPr>
          </w:pPr>
          <w:hyperlink w:anchor="_Toc158989286" w:history="1">
            <w:r w:rsidR="005A7B23" w:rsidRPr="002E189D">
              <w:rPr>
                <w:rStyle w:val="Hypertextovprepojenie"/>
                <w:noProof/>
              </w:rPr>
              <w:t>1.1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Stav implementácie podľa operačných programov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_Toc158989286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6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1BE237CA" w14:textId="10A5A4A2" w:rsidR="005A7B23" w:rsidRPr="002E189D" w:rsidRDefault="002E189D">
          <w:pPr>
            <w:pStyle w:val="Obsah2"/>
            <w:rPr>
              <w:rFonts w:asciiTheme="minorHAnsi" w:eastAsiaTheme="minorEastAsia" w:hAnsiTheme="minorHAnsi" w:cstheme="minorBidi"/>
              <w:noProof/>
              <w:lang w:eastAsia="sk-SK"/>
            </w:rPr>
          </w:pPr>
          <w:hyperlink w:anchor="_Toc158989287" w:history="1">
            <w:r w:rsidR="005A7B23" w:rsidRPr="002E189D">
              <w:rPr>
                <w:rStyle w:val="Hypertextovprepojenie"/>
                <w:noProof/>
              </w:rPr>
              <w:t>1.2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Porovnanie stavu a zostatkov čerpania k 09.02.2024 podľa jednotlivých OP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_Toc158989287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7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5082F01D" w14:textId="4F0DC6EC" w:rsidR="005A7B23" w:rsidRPr="002E189D" w:rsidRDefault="002E189D">
          <w:pPr>
            <w:pStyle w:val="Obsah2"/>
            <w:rPr>
              <w:rFonts w:asciiTheme="minorHAnsi" w:eastAsiaTheme="minorEastAsia" w:hAnsiTheme="minorHAnsi" w:cstheme="minorBidi"/>
              <w:noProof/>
              <w:lang w:eastAsia="sk-SK"/>
            </w:rPr>
          </w:pPr>
          <w:hyperlink w:anchor="_Toc158989288" w:history="1">
            <w:r w:rsidR="005A7B23" w:rsidRPr="002E189D">
              <w:rPr>
                <w:rStyle w:val="Hypertextovprepojenie"/>
                <w:noProof/>
              </w:rPr>
              <w:t>1.3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Implementácia FAST-CARE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_Toc158989288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8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4A42570F" w14:textId="485BFC64" w:rsidR="005A7B23" w:rsidRPr="002E189D" w:rsidRDefault="002E189D">
          <w:pPr>
            <w:pStyle w:val="Obsah2"/>
            <w:rPr>
              <w:rFonts w:asciiTheme="minorHAnsi" w:eastAsiaTheme="minorEastAsia" w:hAnsiTheme="minorHAnsi" w:cstheme="minorBidi"/>
              <w:noProof/>
              <w:lang w:eastAsia="sk-SK"/>
            </w:rPr>
          </w:pPr>
          <w:hyperlink w:anchor="_Toc158989289" w:history="1">
            <w:r w:rsidR="005A7B23" w:rsidRPr="002E189D">
              <w:rPr>
                <w:rStyle w:val="Hypertextovprepojenie"/>
                <w:noProof/>
              </w:rPr>
              <w:t>1.4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Implementácia SAFE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_Toc158989289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9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6E12C213" w14:textId="07DB29C2" w:rsidR="005A7B23" w:rsidRPr="002E189D" w:rsidRDefault="002E189D">
          <w:pPr>
            <w:pStyle w:val="Obsah1"/>
            <w:rPr>
              <w:rFonts w:asciiTheme="minorHAnsi" w:eastAsiaTheme="minorEastAsia" w:hAnsiTheme="minorHAnsi" w:cstheme="minorBidi"/>
              <w:noProof/>
              <w:lang w:eastAsia="sk-SK"/>
            </w:rPr>
          </w:pPr>
          <w:hyperlink w:anchor="_Toc158989290" w:history="1">
            <w:r w:rsidR="005A7B23" w:rsidRPr="002E189D">
              <w:rPr>
                <w:rStyle w:val="Hypertextovprepojenie"/>
                <w:rFonts w:cs="Calibri"/>
                <w:noProof/>
              </w:rPr>
              <w:t>2.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Implementácia Programu Slovensko 2021 – 2027 k 09.02.2024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_Toc158989290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11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60AC34C2" w14:textId="40C3A65B" w:rsidR="005A7B23" w:rsidRPr="002E189D" w:rsidRDefault="002E189D">
          <w:pPr>
            <w:pStyle w:val="Obsah2"/>
            <w:rPr>
              <w:rFonts w:asciiTheme="minorHAnsi" w:eastAsiaTheme="minorEastAsia" w:hAnsiTheme="minorHAnsi" w:cstheme="minorBidi"/>
              <w:noProof/>
              <w:lang w:eastAsia="sk-SK"/>
            </w:rPr>
          </w:pPr>
          <w:hyperlink w:anchor="_Toc158989291" w:history="1">
            <w:r w:rsidR="005A7B23" w:rsidRPr="002E189D">
              <w:rPr>
                <w:rStyle w:val="Hypertextovprepojenie"/>
                <w:noProof/>
              </w:rPr>
              <w:t>2.1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Základná informácia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_Toc158989291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11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4970D902" w14:textId="0A4D926C" w:rsidR="005A7B23" w:rsidRPr="002E189D" w:rsidRDefault="002E189D">
          <w:pPr>
            <w:pStyle w:val="Obsah2"/>
            <w:rPr>
              <w:rFonts w:asciiTheme="minorHAnsi" w:eastAsiaTheme="minorEastAsia" w:hAnsiTheme="minorHAnsi" w:cstheme="minorBidi"/>
              <w:noProof/>
              <w:lang w:eastAsia="sk-SK"/>
            </w:rPr>
          </w:pPr>
          <w:hyperlink w:anchor="_Toc158989292" w:history="1">
            <w:r w:rsidR="005A7B23" w:rsidRPr="002E189D">
              <w:rPr>
                <w:rStyle w:val="Hypertextovprepojenie"/>
                <w:noProof/>
              </w:rPr>
              <w:t>2.2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Stav schvaľovania hodnotiacich a výberových kritérií a zámerov národných projektov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_Toc158989292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13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0941F619" w14:textId="6CD815D0" w:rsidR="005A7B23" w:rsidRPr="002E189D" w:rsidRDefault="002E189D">
          <w:pPr>
            <w:pStyle w:val="Obsah2"/>
            <w:rPr>
              <w:rFonts w:asciiTheme="minorHAnsi" w:eastAsiaTheme="minorEastAsia" w:hAnsiTheme="minorHAnsi" w:cstheme="minorBidi"/>
              <w:noProof/>
              <w:lang w:eastAsia="sk-SK"/>
            </w:rPr>
          </w:pPr>
          <w:hyperlink w:anchor="_Toc158989293" w:history="1">
            <w:r w:rsidR="005A7B23" w:rsidRPr="002E189D">
              <w:rPr>
                <w:rStyle w:val="Hypertextovprepojenie"/>
                <w:noProof/>
              </w:rPr>
              <w:t>2.3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Posudzovanie výziev riadiacim orgánom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_Toc158989293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13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428AE4CA" w14:textId="5BCDBF58" w:rsidR="005A7B23" w:rsidRPr="002E189D" w:rsidRDefault="002E189D">
          <w:pPr>
            <w:pStyle w:val="Obsah2"/>
            <w:rPr>
              <w:rFonts w:asciiTheme="minorHAnsi" w:eastAsiaTheme="minorEastAsia" w:hAnsiTheme="minorHAnsi" w:cstheme="minorBidi"/>
              <w:noProof/>
              <w:lang w:eastAsia="sk-SK"/>
            </w:rPr>
          </w:pPr>
          <w:hyperlink w:anchor="_Toc158989294" w:history="1">
            <w:r w:rsidR="005A7B23" w:rsidRPr="002E189D">
              <w:rPr>
                <w:rStyle w:val="Hypertextovprepojenie"/>
                <w:noProof/>
              </w:rPr>
              <w:t>2.4</w:t>
            </w:r>
            <w:r w:rsidR="005A7B23" w:rsidRPr="002E189D">
              <w:rPr>
                <w:rFonts w:asciiTheme="minorHAnsi" w:eastAsiaTheme="minorEastAsia" w:hAnsiTheme="minorHAnsi" w:cstheme="minorBidi"/>
                <w:noProof/>
                <w:lang w:eastAsia="sk-SK"/>
              </w:rPr>
              <w:tab/>
            </w:r>
            <w:r w:rsidR="005A7B23" w:rsidRPr="002E189D">
              <w:rPr>
                <w:rStyle w:val="Hypertextovprepojenie"/>
                <w:rFonts w:cs="Calibri"/>
                <w:noProof/>
              </w:rPr>
              <w:t>Aktuálny stav implementácie</w:t>
            </w:r>
            <w:r w:rsidR="005A7B23" w:rsidRPr="002E189D">
              <w:rPr>
                <w:noProof/>
                <w:webHidden/>
              </w:rPr>
              <w:tab/>
            </w:r>
            <w:r w:rsidR="005A7B23" w:rsidRPr="002E189D">
              <w:rPr>
                <w:noProof/>
                <w:webHidden/>
              </w:rPr>
              <w:fldChar w:fldCharType="begin"/>
            </w:r>
            <w:r w:rsidR="005A7B23" w:rsidRPr="002E189D">
              <w:rPr>
                <w:noProof/>
                <w:webHidden/>
              </w:rPr>
              <w:instrText xml:space="preserve"> PAGEREF _Toc158989294 \h </w:instrText>
            </w:r>
            <w:r w:rsidR="005A7B23" w:rsidRPr="002E189D">
              <w:rPr>
                <w:noProof/>
                <w:webHidden/>
              </w:rPr>
            </w:r>
            <w:r w:rsidR="005A7B23" w:rsidRPr="002E189D">
              <w:rPr>
                <w:noProof/>
                <w:webHidden/>
              </w:rPr>
              <w:fldChar w:fldCharType="separate"/>
            </w:r>
            <w:r w:rsidR="005A7B23" w:rsidRPr="002E189D">
              <w:rPr>
                <w:noProof/>
                <w:webHidden/>
              </w:rPr>
              <w:t>13</w:t>
            </w:r>
            <w:r w:rsidR="005A7B23" w:rsidRPr="002E189D">
              <w:rPr>
                <w:noProof/>
                <w:webHidden/>
              </w:rPr>
              <w:fldChar w:fldCharType="end"/>
            </w:r>
          </w:hyperlink>
        </w:p>
        <w:p w14:paraId="6D74F74A" w14:textId="6AFAC5CF" w:rsidR="00A376F2" w:rsidRPr="00850FE3" w:rsidRDefault="009736EA" w:rsidP="004D28EC">
          <w:pPr>
            <w:spacing w:line="240" w:lineRule="auto"/>
            <w:jc w:val="both"/>
            <w:rPr>
              <w:rFonts w:cs="Calibri"/>
              <w:bCs/>
            </w:rPr>
          </w:pPr>
          <w:r w:rsidRPr="00850FE3">
            <w:rPr>
              <w:rFonts w:cs="Calibri"/>
              <w:bCs/>
            </w:rPr>
            <w:fldChar w:fldCharType="end"/>
          </w:r>
        </w:p>
      </w:sdtContent>
    </w:sdt>
    <w:p w14:paraId="6F9F82CE" w14:textId="2FC5034E" w:rsidR="003F1EA0" w:rsidRPr="00117156" w:rsidRDefault="003F1EA0" w:rsidP="004D28EC">
      <w:pPr>
        <w:spacing w:line="240" w:lineRule="auto"/>
        <w:jc w:val="both"/>
        <w:rPr>
          <w:rFonts w:cs="Calibri"/>
          <w:b/>
          <w:bCs/>
        </w:rPr>
      </w:pPr>
    </w:p>
    <w:p w14:paraId="341C926A" w14:textId="77777777" w:rsidR="003F1EA0" w:rsidRPr="00117156" w:rsidRDefault="003F1EA0" w:rsidP="004D28EC">
      <w:pPr>
        <w:spacing w:line="240" w:lineRule="auto"/>
        <w:jc w:val="both"/>
        <w:rPr>
          <w:rFonts w:cs="Calibri"/>
        </w:rPr>
      </w:pPr>
    </w:p>
    <w:p w14:paraId="389CAD46" w14:textId="32620C51" w:rsidR="00EC7836" w:rsidRPr="00117156" w:rsidRDefault="00EC7836" w:rsidP="004D28EC">
      <w:pPr>
        <w:spacing w:line="240" w:lineRule="auto"/>
        <w:rPr>
          <w:rFonts w:cs="Calibri"/>
        </w:rPr>
      </w:pPr>
      <w:bookmarkStart w:id="0" w:name="_GoBack"/>
      <w:bookmarkEnd w:id="0"/>
    </w:p>
    <w:p w14:paraId="767F4A6D" w14:textId="3553674E" w:rsidR="000B5E2E" w:rsidRPr="00117156" w:rsidRDefault="000B5E2E" w:rsidP="004D28EC">
      <w:pPr>
        <w:suppressAutoHyphens w:val="0"/>
        <w:spacing w:after="160" w:line="240" w:lineRule="auto"/>
        <w:rPr>
          <w:rFonts w:cs="Calibri"/>
        </w:rPr>
      </w:pPr>
      <w:r w:rsidRPr="00117156">
        <w:rPr>
          <w:rFonts w:cs="Calibri"/>
        </w:rPr>
        <w:br w:type="page"/>
      </w:r>
    </w:p>
    <w:p w14:paraId="1EBC17DB" w14:textId="29FFBDAF" w:rsidR="009736EA" w:rsidRPr="00117156" w:rsidRDefault="00204693" w:rsidP="004D28EC">
      <w:pPr>
        <w:pStyle w:val="Nadpis1"/>
        <w:numPr>
          <w:ilvl w:val="0"/>
          <w:numId w:val="1"/>
        </w:numPr>
        <w:suppressAutoHyphens w:val="0"/>
        <w:spacing w:before="0" w:line="240" w:lineRule="auto"/>
        <w:ind w:left="714" w:hanging="357"/>
        <w:jc w:val="both"/>
        <w:rPr>
          <w:rFonts w:ascii="Calibri" w:eastAsia="Times New Roman" w:hAnsi="Calibri" w:cs="Calibri"/>
          <w:b/>
          <w:color w:val="0055A1"/>
          <w:sz w:val="28"/>
          <w:szCs w:val="28"/>
        </w:rPr>
      </w:pPr>
      <w:bookmarkStart w:id="1" w:name="_Toc158989285"/>
      <w:r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lastRenderedPageBreak/>
        <w:t>I</w:t>
      </w:r>
      <w:r w:rsidR="00C32248"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 xml:space="preserve">mplementácia programového obdobia 2014 </w:t>
      </w:r>
      <w:r w:rsidR="001E44DB"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>–</w:t>
      </w:r>
      <w:r w:rsidR="00C32248"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 xml:space="preserve"> 2020</w:t>
      </w:r>
      <w:r w:rsidR="00664F67"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 xml:space="preserve"> k </w:t>
      </w:r>
      <w:r w:rsidR="005A5FC4">
        <w:rPr>
          <w:rFonts w:ascii="Calibri" w:eastAsia="Times New Roman" w:hAnsi="Calibri" w:cs="Calibri"/>
          <w:b/>
          <w:color w:val="0055A1"/>
          <w:sz w:val="28"/>
          <w:szCs w:val="28"/>
        </w:rPr>
        <w:t>09</w:t>
      </w:r>
      <w:r w:rsidR="00664F67"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>.</w:t>
      </w:r>
      <w:r w:rsidR="005A5FC4">
        <w:rPr>
          <w:rFonts w:ascii="Calibri" w:eastAsia="Times New Roman" w:hAnsi="Calibri" w:cs="Calibri"/>
          <w:b/>
          <w:color w:val="0055A1"/>
          <w:sz w:val="28"/>
          <w:szCs w:val="28"/>
        </w:rPr>
        <w:t>02</w:t>
      </w:r>
      <w:r w:rsidR="001E44DB"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>.202</w:t>
      </w:r>
      <w:r w:rsidR="005A5FC4">
        <w:rPr>
          <w:rFonts w:ascii="Calibri" w:eastAsia="Times New Roman" w:hAnsi="Calibri" w:cs="Calibri"/>
          <w:b/>
          <w:color w:val="0055A1"/>
          <w:sz w:val="28"/>
          <w:szCs w:val="28"/>
        </w:rPr>
        <w:t>4</w:t>
      </w:r>
      <w:bookmarkEnd w:id="1"/>
    </w:p>
    <w:p w14:paraId="30EBE535" w14:textId="6AF33201" w:rsidR="009736EA" w:rsidRPr="00117156" w:rsidRDefault="009736EA" w:rsidP="004D28EC">
      <w:pPr>
        <w:pStyle w:val="Odsekzoznamu"/>
        <w:spacing w:line="240" w:lineRule="auto"/>
        <w:ind w:left="284"/>
        <w:jc w:val="both"/>
        <w:rPr>
          <w:rStyle w:val="Intenzvnezvraznenie"/>
          <w:rFonts w:cs="Calibri"/>
          <w:i w:val="0"/>
          <w:color w:val="auto"/>
        </w:rPr>
      </w:pPr>
    </w:p>
    <w:p w14:paraId="1584CECC" w14:textId="3B3F7F20" w:rsidR="005726AB" w:rsidRPr="00117156" w:rsidRDefault="0005665D" w:rsidP="004D28EC">
      <w:pPr>
        <w:suppressAutoHyphens w:val="0"/>
        <w:spacing w:before="120" w:line="240" w:lineRule="auto"/>
        <w:jc w:val="both"/>
        <w:rPr>
          <w:rFonts w:eastAsiaTheme="minorHAnsi" w:cs="Calibri"/>
          <w:iCs/>
          <w:lang w:eastAsia="en-US"/>
        </w:rPr>
      </w:pPr>
      <w:r w:rsidRPr="00117156">
        <w:rPr>
          <w:rFonts w:eastAsiaTheme="minorHAnsi" w:cs="Calibri"/>
          <w:iCs/>
          <w:lang w:eastAsia="en-US"/>
        </w:rPr>
        <w:t>V programovom období 2014 – 2020 sa implementujú fondy EÚ prostredníctvom 11 operačných programov, pričom za implementáciu každého operačného programu je zodpovedný riadiaci orgán.</w:t>
      </w:r>
    </w:p>
    <w:p w14:paraId="0DFCCC10" w14:textId="65DF6BD8" w:rsidR="00805661" w:rsidRPr="00117156" w:rsidRDefault="00D60A6D" w:rsidP="004D28EC">
      <w:pPr>
        <w:suppressAutoHyphens w:val="0"/>
        <w:spacing w:before="120" w:line="240" w:lineRule="auto"/>
        <w:jc w:val="both"/>
        <w:rPr>
          <w:rFonts w:eastAsiaTheme="minorHAnsi" w:cs="Calibri"/>
          <w:b/>
          <w:iCs/>
          <w:lang w:eastAsia="en-US"/>
        </w:rPr>
      </w:pPr>
      <w:r w:rsidRPr="00117156">
        <w:rPr>
          <w:rFonts w:eastAsiaTheme="minorHAnsi" w:cs="Calibri"/>
          <w:b/>
          <w:iCs/>
          <w:lang w:eastAsia="en-US"/>
        </w:rPr>
        <w:t>Informácia je spracovaná za 10 operačných programov, teda bez Programu rozvoja vidieka</w:t>
      </w:r>
      <w:r>
        <w:rPr>
          <w:rFonts w:eastAsiaTheme="minorHAnsi" w:cs="Calibri"/>
          <w:b/>
          <w:iCs/>
          <w:lang w:eastAsia="en-US"/>
        </w:rPr>
        <w:t xml:space="preserve"> 2014</w:t>
      </w:r>
      <w:r w:rsidR="003035BD">
        <w:rPr>
          <w:rFonts w:eastAsiaTheme="minorHAnsi" w:cs="Calibri"/>
          <w:b/>
          <w:iCs/>
          <w:lang w:eastAsia="en-US"/>
        </w:rPr>
        <w:t xml:space="preserve"> – </w:t>
      </w:r>
      <w:r>
        <w:rPr>
          <w:rFonts w:eastAsiaTheme="minorHAnsi" w:cs="Calibri"/>
          <w:b/>
          <w:iCs/>
          <w:lang w:eastAsia="en-US"/>
        </w:rPr>
        <w:t>2020 (PRV)</w:t>
      </w:r>
      <w:r w:rsidRPr="00117156">
        <w:rPr>
          <w:rFonts w:eastAsiaTheme="minorHAnsi" w:cs="Calibri"/>
          <w:b/>
          <w:iCs/>
          <w:lang w:eastAsia="en-US"/>
        </w:rPr>
        <w:t>, ktorý je možné čerpať v zmysle legislatívy EÚ až do 31.12.2025</w:t>
      </w:r>
      <w:r>
        <w:rPr>
          <w:rFonts w:eastAsiaTheme="minorHAnsi" w:cs="Calibri"/>
          <w:b/>
          <w:iCs/>
          <w:lang w:eastAsia="en-US"/>
        </w:rPr>
        <w:t xml:space="preserve">. </w:t>
      </w:r>
    </w:p>
    <w:p w14:paraId="789D60F6" w14:textId="44244511" w:rsidR="0005665D" w:rsidRPr="00117156" w:rsidRDefault="0005665D" w:rsidP="004D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20" w:line="240" w:lineRule="auto"/>
        <w:jc w:val="both"/>
        <w:rPr>
          <w:rFonts w:eastAsiaTheme="minorHAnsi" w:cs="Calibri"/>
          <w:b/>
          <w:iCs/>
          <w:lang w:eastAsia="en-US"/>
        </w:rPr>
      </w:pPr>
      <w:r w:rsidRPr="00117156">
        <w:rPr>
          <w:rFonts w:eastAsiaTheme="minorHAnsi" w:cs="Calibri"/>
          <w:b/>
          <w:iCs/>
          <w:lang w:eastAsia="en-US"/>
        </w:rPr>
        <w:t>Riadiaci orgán</w:t>
      </w:r>
      <w:r w:rsidR="000F7BEF" w:rsidRPr="00117156">
        <w:rPr>
          <w:rFonts w:eastAsiaTheme="minorHAnsi" w:cs="Calibri"/>
          <w:b/>
          <w:iCs/>
          <w:lang w:eastAsia="en-US"/>
        </w:rPr>
        <w:t xml:space="preserve"> (RO)</w:t>
      </w:r>
      <w:r w:rsidRPr="00117156">
        <w:rPr>
          <w:rFonts w:eastAsiaTheme="minorHAnsi" w:cs="Calibri"/>
          <w:b/>
          <w:iCs/>
          <w:lang w:eastAsia="en-US"/>
        </w:rPr>
        <w:t xml:space="preserve"> je orgán štátnej správy alebo orgán územnej samosprávy určený vládou SR na</w:t>
      </w:r>
      <w:r w:rsidR="0061115A">
        <w:rPr>
          <w:rFonts w:eastAsiaTheme="minorHAnsi" w:cs="Calibri"/>
          <w:b/>
          <w:iCs/>
          <w:lang w:eastAsia="en-US"/>
        </w:rPr>
        <w:t> </w:t>
      </w:r>
      <w:r w:rsidRPr="00117156">
        <w:rPr>
          <w:rFonts w:eastAsiaTheme="minorHAnsi" w:cs="Calibri"/>
          <w:b/>
          <w:iCs/>
          <w:lang w:eastAsia="en-US"/>
        </w:rPr>
        <w:t>re</w:t>
      </w:r>
      <w:r w:rsidR="0068306B" w:rsidRPr="00117156">
        <w:rPr>
          <w:rFonts w:eastAsiaTheme="minorHAnsi" w:cs="Calibri"/>
          <w:b/>
          <w:iCs/>
          <w:lang w:eastAsia="en-US"/>
        </w:rPr>
        <w:t>alizáciu operačného programu. R</w:t>
      </w:r>
      <w:r w:rsidR="000F7BEF" w:rsidRPr="00117156">
        <w:rPr>
          <w:rFonts w:eastAsiaTheme="minorHAnsi" w:cs="Calibri"/>
          <w:b/>
          <w:iCs/>
          <w:lang w:eastAsia="en-US"/>
        </w:rPr>
        <w:t>O</w:t>
      </w:r>
      <w:r w:rsidR="0068306B" w:rsidRPr="00117156">
        <w:rPr>
          <w:rFonts w:eastAsiaTheme="minorHAnsi" w:cs="Calibri"/>
          <w:b/>
          <w:iCs/>
          <w:lang w:eastAsia="en-US"/>
        </w:rPr>
        <w:t xml:space="preserve"> </w:t>
      </w:r>
      <w:r w:rsidRPr="00117156">
        <w:rPr>
          <w:rFonts w:eastAsiaTheme="minorHAnsi" w:cs="Calibri"/>
          <w:b/>
          <w:iCs/>
          <w:lang w:eastAsia="en-US"/>
        </w:rPr>
        <w:t xml:space="preserve">je </w:t>
      </w:r>
      <w:r w:rsidR="00763439" w:rsidRPr="00117156">
        <w:rPr>
          <w:rFonts w:eastAsiaTheme="minorHAnsi" w:cs="Calibri"/>
          <w:b/>
          <w:iCs/>
          <w:lang w:eastAsia="en-US"/>
        </w:rPr>
        <w:t>podľa</w:t>
      </w:r>
      <w:r w:rsidRPr="00117156">
        <w:rPr>
          <w:rFonts w:eastAsiaTheme="minorHAnsi" w:cs="Calibri"/>
          <w:b/>
          <w:iCs/>
          <w:lang w:eastAsia="en-US"/>
        </w:rPr>
        <w:t xml:space="preserve"> nariadeni</w:t>
      </w:r>
      <w:r w:rsidR="0068306B" w:rsidRPr="00117156">
        <w:rPr>
          <w:rFonts w:eastAsiaTheme="minorHAnsi" w:cs="Calibri"/>
          <w:b/>
          <w:iCs/>
          <w:lang w:eastAsia="en-US"/>
        </w:rPr>
        <w:t xml:space="preserve">a Európskeho parlamentu a Rady </w:t>
      </w:r>
      <w:r w:rsidRPr="00117156">
        <w:rPr>
          <w:rFonts w:eastAsiaTheme="minorHAnsi" w:cs="Calibri"/>
          <w:b/>
          <w:iCs/>
          <w:lang w:eastAsia="en-US"/>
        </w:rPr>
        <w:t>č.</w:t>
      </w:r>
      <w:r w:rsidR="0061115A">
        <w:rPr>
          <w:rFonts w:eastAsiaTheme="minorHAnsi" w:cs="Calibri"/>
          <w:b/>
          <w:iCs/>
          <w:lang w:eastAsia="en-US"/>
        </w:rPr>
        <w:t> </w:t>
      </w:r>
      <w:r w:rsidRPr="00117156">
        <w:rPr>
          <w:rFonts w:eastAsiaTheme="minorHAnsi" w:cs="Calibri"/>
          <w:b/>
          <w:iCs/>
          <w:lang w:eastAsia="en-US"/>
        </w:rPr>
        <w:t>1303/2013 plne zodpovedný za efektívne riadenie a implementáciu daného operačného programu v súlade so zásadou správneho finančného riadenia.</w:t>
      </w:r>
    </w:p>
    <w:p w14:paraId="699A890D" w14:textId="1008BE94" w:rsidR="00D56A51" w:rsidRPr="00117156" w:rsidRDefault="00A66D9B" w:rsidP="004D28EC">
      <w:pPr>
        <w:pStyle w:val="Bezriadkovania"/>
        <w:spacing w:before="120"/>
        <w:jc w:val="both"/>
        <w:rPr>
          <w:rFonts w:cs="Calibri"/>
          <w:b/>
          <w:bCs/>
        </w:rPr>
      </w:pPr>
      <w:r w:rsidRPr="00117156">
        <w:rPr>
          <w:rFonts w:ascii="Calibri" w:hAnsi="Calibri" w:cs="Calibri"/>
          <w:b/>
        </w:rPr>
        <w:t>Rok 202</w:t>
      </w:r>
      <w:r w:rsidR="001175B4">
        <w:rPr>
          <w:rFonts w:ascii="Calibri" w:hAnsi="Calibri" w:cs="Calibri"/>
          <w:b/>
        </w:rPr>
        <w:t>4</w:t>
      </w:r>
      <w:r w:rsidRPr="00117156">
        <w:rPr>
          <w:rFonts w:ascii="Calibri" w:hAnsi="Calibri" w:cs="Calibri"/>
          <w:b/>
        </w:rPr>
        <w:t xml:space="preserve"> je pre </w:t>
      </w:r>
      <w:r w:rsidR="000F7BEF" w:rsidRPr="00117156">
        <w:rPr>
          <w:rFonts w:ascii="Calibri" w:hAnsi="Calibri" w:cs="Calibri"/>
          <w:b/>
        </w:rPr>
        <w:t xml:space="preserve">RO </w:t>
      </w:r>
      <w:r w:rsidRPr="00117156">
        <w:rPr>
          <w:rFonts w:ascii="Calibri" w:hAnsi="Calibri" w:cs="Calibri"/>
          <w:b/>
        </w:rPr>
        <w:t>kľúčový na zabezpečenie riadneho ukončovania programov</w:t>
      </w:r>
      <w:r w:rsidRPr="00117156">
        <w:rPr>
          <w:rFonts w:ascii="Calibri" w:hAnsi="Calibri" w:cs="Calibri"/>
        </w:rPr>
        <w:t xml:space="preserve">. RO v tejto fáze implementácie zabezpečujú </w:t>
      </w:r>
      <w:r w:rsidR="001175B4">
        <w:rPr>
          <w:rFonts w:ascii="Calibri" w:hAnsi="Calibri" w:cs="Calibri"/>
        </w:rPr>
        <w:t>zaslanie posledných súhrnných žiadostí o platbu na certifikačný orgán</w:t>
      </w:r>
      <w:r w:rsidRPr="00117156">
        <w:rPr>
          <w:rFonts w:ascii="Calibri" w:hAnsi="Calibri" w:cs="Calibri"/>
        </w:rPr>
        <w:t xml:space="preserve">, </w:t>
      </w:r>
      <w:r w:rsidR="005503C8">
        <w:rPr>
          <w:rFonts w:ascii="Calibri" w:hAnsi="Calibri" w:cs="Calibri"/>
        </w:rPr>
        <w:t xml:space="preserve">výkon kontrol na mieste, </w:t>
      </w:r>
      <w:r w:rsidRPr="00117156">
        <w:rPr>
          <w:rFonts w:ascii="Calibri" w:hAnsi="Calibri" w:cs="Calibri"/>
        </w:rPr>
        <w:t xml:space="preserve">ukončovanie projektov, prípravu </w:t>
      </w:r>
      <w:proofErr w:type="spellStart"/>
      <w:r w:rsidRPr="00117156">
        <w:rPr>
          <w:rFonts w:ascii="Calibri" w:hAnsi="Calibri" w:cs="Calibri"/>
        </w:rPr>
        <w:t>fázovania</w:t>
      </w:r>
      <w:proofErr w:type="spellEnd"/>
      <w:r w:rsidRPr="00117156">
        <w:rPr>
          <w:rFonts w:ascii="Calibri" w:hAnsi="Calibri" w:cs="Calibri"/>
        </w:rPr>
        <w:t xml:space="preserve"> niektorých projektov, </w:t>
      </w:r>
      <w:r w:rsidR="00C36CAF" w:rsidRPr="00117156">
        <w:rPr>
          <w:rFonts w:ascii="Calibri" w:hAnsi="Calibri" w:cs="Calibri"/>
        </w:rPr>
        <w:t xml:space="preserve">riešenie prebiehajúcich skúmaní, </w:t>
      </w:r>
      <w:r w:rsidRPr="00117156">
        <w:rPr>
          <w:rFonts w:ascii="Calibri" w:hAnsi="Calibri" w:cs="Calibri"/>
        </w:rPr>
        <w:t xml:space="preserve">vysporiadanie nezrovnalostí a zabezpečujú všetky potrebné postupy pre úspešné ukončovanie programov. </w:t>
      </w:r>
      <w:r w:rsidR="00F83FF7" w:rsidRPr="00117156">
        <w:rPr>
          <w:rFonts w:cs="Calibri"/>
          <w:b/>
          <w:bCs/>
        </w:rPr>
        <w:t xml:space="preserve">Všetky úhrady výdavkov v rámci projektov v súlade s európskou legislatívou </w:t>
      </w:r>
      <w:r w:rsidR="00B92229">
        <w:rPr>
          <w:rFonts w:cs="Calibri"/>
          <w:b/>
          <w:bCs/>
        </w:rPr>
        <w:t>boli</w:t>
      </w:r>
      <w:r w:rsidR="00B92229" w:rsidRPr="00117156">
        <w:rPr>
          <w:rFonts w:cs="Calibri"/>
          <w:b/>
          <w:bCs/>
        </w:rPr>
        <w:t xml:space="preserve"> </w:t>
      </w:r>
      <w:r w:rsidR="00F83FF7" w:rsidRPr="00117156">
        <w:rPr>
          <w:rFonts w:cs="Calibri"/>
          <w:b/>
          <w:bCs/>
        </w:rPr>
        <w:t xml:space="preserve">prijímatelia povinní </w:t>
      </w:r>
      <w:r w:rsidR="005503C8">
        <w:rPr>
          <w:rFonts w:cs="Calibri"/>
          <w:b/>
          <w:bCs/>
        </w:rPr>
        <w:t>zrealizovať dodávateľom</w:t>
      </w:r>
      <w:r w:rsidR="00F83FF7" w:rsidRPr="00117156">
        <w:rPr>
          <w:rFonts w:cs="Calibri"/>
          <w:b/>
          <w:bCs/>
        </w:rPr>
        <w:t xml:space="preserve"> do 31. decembra 2023.</w:t>
      </w:r>
    </w:p>
    <w:p w14:paraId="7155B86B" w14:textId="0B3FEF51" w:rsidR="00644ED4" w:rsidRPr="00117156" w:rsidRDefault="005503C8" w:rsidP="004D28EC">
      <w:pPr>
        <w:suppressAutoHyphens w:val="0"/>
        <w:spacing w:before="120" w:line="240" w:lineRule="auto"/>
        <w:jc w:val="both"/>
        <w:rPr>
          <w:rStyle w:val="Zstupntext"/>
          <w:rFonts w:ascii="Calibri" w:hAnsi="Calibri" w:cs="Calibri"/>
          <w:color w:val="auto"/>
        </w:rPr>
      </w:pPr>
      <w:r>
        <w:rPr>
          <w:rFonts w:eastAsiaTheme="minorHAnsi" w:cs="Calibri"/>
          <w:b/>
          <w:lang w:eastAsia="en-US"/>
        </w:rPr>
        <w:t>Uhrádzanie žiadostí</w:t>
      </w:r>
      <w:r w:rsidR="00644ED4" w:rsidRPr="00117156">
        <w:rPr>
          <w:rFonts w:eastAsiaTheme="minorHAnsi" w:cs="Calibri"/>
          <w:b/>
          <w:lang w:eastAsia="en-US"/>
        </w:rPr>
        <w:t xml:space="preserve"> o platbu prijímateľom, a teda zvyšovanie čerpania finančných prostriedkov</w:t>
      </w:r>
      <w:r w:rsidR="000D7766">
        <w:rPr>
          <w:rFonts w:eastAsiaTheme="minorHAnsi" w:cs="Calibri"/>
          <w:b/>
          <w:lang w:eastAsia="en-US"/>
        </w:rPr>
        <w:t>,</w:t>
      </w:r>
      <w:r w:rsidR="00644ED4" w:rsidRPr="00117156">
        <w:rPr>
          <w:rFonts w:eastAsiaTheme="minorHAnsi" w:cs="Calibri"/>
          <w:b/>
          <w:lang w:eastAsia="en-US"/>
        </w:rPr>
        <w:t xml:space="preserve"> bude reálne prebiehať až do </w:t>
      </w:r>
      <w:r w:rsidR="00B92229">
        <w:rPr>
          <w:rFonts w:eastAsiaTheme="minorHAnsi" w:cs="Calibri"/>
          <w:b/>
          <w:lang w:eastAsia="en-US"/>
        </w:rPr>
        <w:t>apríla - mája</w:t>
      </w:r>
      <w:r w:rsidR="00B92229" w:rsidRPr="00117156">
        <w:rPr>
          <w:rFonts w:eastAsiaTheme="minorHAnsi" w:cs="Calibri"/>
          <w:b/>
          <w:lang w:eastAsia="en-US"/>
        </w:rPr>
        <w:t xml:space="preserve"> </w:t>
      </w:r>
      <w:r w:rsidR="00644ED4" w:rsidRPr="00117156">
        <w:rPr>
          <w:rFonts w:eastAsiaTheme="minorHAnsi" w:cs="Calibri"/>
          <w:b/>
          <w:lang w:eastAsia="en-US"/>
        </w:rPr>
        <w:t xml:space="preserve">2024 z dôvodu financovania na národnej úrovni a zaslania posledných </w:t>
      </w:r>
      <w:r w:rsidR="00644ED4" w:rsidRPr="00C67B8E">
        <w:rPr>
          <w:rFonts w:eastAsiaTheme="minorHAnsi" w:cs="Calibri"/>
          <w:b/>
          <w:lang w:eastAsia="en-US"/>
        </w:rPr>
        <w:t>súhrnných žiadostí o platbu z </w:t>
      </w:r>
      <w:r w:rsidR="0090472B" w:rsidRPr="00C67B8E">
        <w:rPr>
          <w:rFonts w:eastAsiaTheme="minorHAnsi" w:cs="Calibri"/>
          <w:b/>
          <w:lang w:eastAsia="en-US"/>
        </w:rPr>
        <w:t>RO</w:t>
      </w:r>
      <w:r w:rsidR="00644ED4" w:rsidRPr="00C67B8E">
        <w:rPr>
          <w:rFonts w:eastAsiaTheme="minorHAnsi" w:cs="Calibri"/>
          <w:b/>
          <w:lang w:eastAsia="en-US"/>
        </w:rPr>
        <w:t xml:space="preserve"> na certifikačný orgán MF SR</w:t>
      </w:r>
      <w:r w:rsidR="00B92229" w:rsidRPr="00C67B8E">
        <w:rPr>
          <w:rStyle w:val="Zstupntext"/>
          <w:rFonts w:ascii="Calibri" w:hAnsi="Calibri" w:cs="Calibri"/>
          <w:color w:val="auto"/>
        </w:rPr>
        <w:t xml:space="preserve"> (posun termínu z marca 2024</w:t>
      </w:r>
      <w:r w:rsidRPr="00C67B8E">
        <w:rPr>
          <w:rStyle w:val="Zstupntext"/>
          <w:rFonts w:ascii="Calibri" w:hAnsi="Calibri" w:cs="Calibri"/>
          <w:color w:val="auto"/>
        </w:rPr>
        <w:t xml:space="preserve"> o ďalšie dva mesiace</w:t>
      </w:r>
      <w:r w:rsidR="00B92229" w:rsidRPr="00C67B8E">
        <w:rPr>
          <w:rStyle w:val="Zstupntext"/>
          <w:rFonts w:ascii="Calibri" w:hAnsi="Calibri" w:cs="Calibri"/>
          <w:color w:val="auto"/>
        </w:rPr>
        <w:t xml:space="preserve"> nastal z dôvodu prijatia novej </w:t>
      </w:r>
      <w:r w:rsidR="000D7766" w:rsidRPr="00C67B8E">
        <w:rPr>
          <w:rStyle w:val="Zstupntext"/>
          <w:rFonts w:ascii="Calibri" w:hAnsi="Calibri" w:cs="Calibri"/>
          <w:color w:val="auto"/>
        </w:rPr>
        <w:t xml:space="preserve">európskej </w:t>
      </w:r>
      <w:r w:rsidR="00B92229" w:rsidRPr="00C67B8E">
        <w:rPr>
          <w:rStyle w:val="Zstupntext"/>
          <w:rFonts w:ascii="Calibri" w:hAnsi="Calibri" w:cs="Calibri"/>
          <w:color w:val="auto"/>
        </w:rPr>
        <w:t>legislatívy STEP</w:t>
      </w:r>
      <w:r w:rsidR="00A33CAA" w:rsidRPr="00C67B8E">
        <w:rPr>
          <w:rStyle w:val="Zstupntext"/>
          <w:rFonts w:ascii="Calibri" w:hAnsi="Calibri" w:cs="Calibri"/>
          <w:color w:val="auto"/>
        </w:rPr>
        <w:t xml:space="preserve"> – podrobnejšie </w:t>
      </w:r>
      <w:r w:rsidR="00C67B8E" w:rsidRPr="00C67B8E">
        <w:rPr>
          <w:rStyle w:val="Zstupntext"/>
          <w:rFonts w:ascii="Calibri" w:hAnsi="Calibri" w:cs="Calibri"/>
          <w:color w:val="auto"/>
        </w:rPr>
        <w:t>v bode 9 kľúčových opatrení</w:t>
      </w:r>
      <w:r w:rsidR="00B92229" w:rsidRPr="00C67B8E">
        <w:rPr>
          <w:rStyle w:val="Zstupntext"/>
          <w:rFonts w:ascii="Calibri" w:hAnsi="Calibri" w:cs="Calibri"/>
          <w:color w:val="auto"/>
        </w:rPr>
        <w:t>).</w:t>
      </w:r>
    </w:p>
    <w:p w14:paraId="2E2D6BD2" w14:textId="6DCCAE83" w:rsidR="004F4A14" w:rsidRPr="00117156" w:rsidRDefault="005726AB" w:rsidP="004D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20" w:line="240" w:lineRule="auto"/>
        <w:jc w:val="both"/>
        <w:rPr>
          <w:rFonts w:cs="Calibri"/>
          <w:b/>
          <w:bCs/>
          <w:color w:val="C00000"/>
        </w:rPr>
      </w:pPr>
      <w:r w:rsidRPr="00117156">
        <w:rPr>
          <w:rFonts w:cs="Calibri"/>
          <w:b/>
          <w:bCs/>
          <w:color w:val="C00000"/>
        </w:rPr>
        <w:t xml:space="preserve">Z celkovej alokácie 14,50 mld. EUR </w:t>
      </w:r>
      <w:r w:rsidR="002E438E" w:rsidRPr="00117156">
        <w:rPr>
          <w:rFonts w:cs="Calibri"/>
          <w:b/>
          <w:bCs/>
          <w:color w:val="C00000"/>
        </w:rPr>
        <w:t>je k </w:t>
      </w:r>
      <w:r w:rsidR="005A5FC4">
        <w:rPr>
          <w:rFonts w:cs="Calibri"/>
          <w:b/>
          <w:bCs/>
          <w:color w:val="C00000"/>
        </w:rPr>
        <w:t>09</w:t>
      </w:r>
      <w:r w:rsidR="002E438E" w:rsidRPr="00117156">
        <w:rPr>
          <w:rFonts w:cs="Calibri"/>
          <w:b/>
          <w:bCs/>
          <w:color w:val="C00000"/>
        </w:rPr>
        <w:t>.</w:t>
      </w:r>
      <w:r w:rsidR="005A5FC4">
        <w:rPr>
          <w:rFonts w:cs="Calibri"/>
          <w:b/>
          <w:bCs/>
          <w:color w:val="C00000"/>
        </w:rPr>
        <w:t>02</w:t>
      </w:r>
      <w:r w:rsidR="002E438E" w:rsidRPr="00117156">
        <w:rPr>
          <w:rFonts w:cs="Calibri"/>
          <w:b/>
          <w:bCs/>
          <w:color w:val="C00000"/>
        </w:rPr>
        <w:t>.202</w:t>
      </w:r>
      <w:r w:rsidR="005A5FC4">
        <w:rPr>
          <w:rFonts w:cs="Calibri"/>
          <w:b/>
          <w:bCs/>
          <w:color w:val="C00000"/>
        </w:rPr>
        <w:t>4</w:t>
      </w:r>
      <w:r w:rsidR="002E438E" w:rsidRPr="00117156">
        <w:rPr>
          <w:rFonts w:cs="Calibri"/>
          <w:b/>
          <w:bCs/>
          <w:color w:val="C00000"/>
        </w:rPr>
        <w:t xml:space="preserve"> vyčerpaných 1</w:t>
      </w:r>
      <w:r w:rsidR="008F048E">
        <w:rPr>
          <w:rFonts w:cs="Calibri"/>
          <w:b/>
          <w:bCs/>
          <w:color w:val="C00000"/>
        </w:rPr>
        <w:t>3</w:t>
      </w:r>
      <w:r w:rsidR="00762B17" w:rsidRPr="00117156">
        <w:rPr>
          <w:rFonts w:cs="Calibri"/>
          <w:b/>
          <w:bCs/>
          <w:color w:val="C00000"/>
        </w:rPr>
        <w:t>,</w:t>
      </w:r>
      <w:r w:rsidR="008F048E">
        <w:rPr>
          <w:rFonts w:cs="Calibri"/>
          <w:b/>
          <w:bCs/>
          <w:color w:val="C00000"/>
        </w:rPr>
        <w:t>42</w:t>
      </w:r>
      <w:r w:rsidR="002E438E" w:rsidRPr="00117156">
        <w:rPr>
          <w:rFonts w:cs="Calibri"/>
          <w:b/>
          <w:bCs/>
          <w:color w:val="C00000"/>
        </w:rPr>
        <w:t xml:space="preserve"> mld. EUR</w:t>
      </w:r>
      <w:r w:rsidR="004A2C7F" w:rsidRPr="00117156">
        <w:rPr>
          <w:rFonts w:cs="Calibri"/>
          <w:b/>
          <w:bCs/>
          <w:color w:val="C00000"/>
        </w:rPr>
        <w:t xml:space="preserve"> (</w:t>
      </w:r>
      <w:r w:rsidR="008F048E">
        <w:rPr>
          <w:rFonts w:cs="Calibri"/>
          <w:b/>
          <w:bCs/>
          <w:color w:val="C00000"/>
        </w:rPr>
        <w:t>92</w:t>
      </w:r>
      <w:r w:rsidR="00CF1A69" w:rsidRPr="00117156">
        <w:rPr>
          <w:rFonts w:cs="Calibri"/>
          <w:b/>
          <w:bCs/>
          <w:color w:val="C00000"/>
        </w:rPr>
        <w:t>,</w:t>
      </w:r>
      <w:r w:rsidR="008F048E">
        <w:rPr>
          <w:rFonts w:cs="Calibri"/>
          <w:b/>
          <w:bCs/>
          <w:color w:val="C00000"/>
        </w:rPr>
        <w:t>52</w:t>
      </w:r>
      <w:r w:rsidR="009426D8">
        <w:rPr>
          <w:rFonts w:cs="Calibri"/>
          <w:b/>
          <w:bCs/>
          <w:color w:val="C00000"/>
        </w:rPr>
        <w:t xml:space="preserve"> </w:t>
      </w:r>
      <w:r w:rsidR="004A2C7F" w:rsidRPr="00117156">
        <w:rPr>
          <w:rFonts w:cs="Calibri"/>
          <w:b/>
          <w:bCs/>
          <w:color w:val="C00000"/>
        </w:rPr>
        <w:t>%)</w:t>
      </w:r>
      <w:r w:rsidR="002E438E" w:rsidRPr="00117156">
        <w:rPr>
          <w:rFonts w:cs="Calibri"/>
          <w:b/>
          <w:bCs/>
          <w:color w:val="C00000"/>
        </w:rPr>
        <w:t xml:space="preserve"> a zostáva vyčerpať ešte </w:t>
      </w:r>
      <w:r w:rsidR="00202638">
        <w:rPr>
          <w:rFonts w:cs="Calibri"/>
          <w:b/>
          <w:bCs/>
          <w:color w:val="C00000"/>
        </w:rPr>
        <w:t>1,</w:t>
      </w:r>
      <w:r w:rsidR="008F048E">
        <w:rPr>
          <w:rFonts w:cs="Calibri"/>
          <w:b/>
          <w:bCs/>
          <w:color w:val="C00000"/>
        </w:rPr>
        <w:t>08</w:t>
      </w:r>
      <w:r w:rsidR="002E438E" w:rsidRPr="00117156">
        <w:rPr>
          <w:rFonts w:cs="Calibri"/>
          <w:b/>
          <w:bCs/>
          <w:color w:val="C00000"/>
        </w:rPr>
        <w:t xml:space="preserve"> mld. EUR</w:t>
      </w:r>
      <w:r w:rsidR="00310704" w:rsidRPr="00117156">
        <w:rPr>
          <w:rFonts w:cs="Calibri"/>
          <w:b/>
          <w:bCs/>
          <w:color w:val="C00000"/>
        </w:rPr>
        <w:t xml:space="preserve"> (</w:t>
      </w:r>
      <w:r w:rsidR="003C4076" w:rsidRPr="00117156">
        <w:rPr>
          <w:rFonts w:cs="Calibri"/>
          <w:b/>
          <w:bCs/>
          <w:color w:val="C00000"/>
        </w:rPr>
        <w:t>EÚ zdroj</w:t>
      </w:r>
      <w:r w:rsidR="00310704" w:rsidRPr="00117156">
        <w:rPr>
          <w:rFonts w:cs="Calibri"/>
          <w:b/>
          <w:bCs/>
          <w:color w:val="C00000"/>
        </w:rPr>
        <w:t>)</w:t>
      </w:r>
      <w:r w:rsidR="004F4A14" w:rsidRPr="00117156">
        <w:rPr>
          <w:rFonts w:cs="Calibri"/>
          <w:b/>
          <w:bCs/>
          <w:color w:val="C00000"/>
        </w:rPr>
        <w:t>, z čoho:</w:t>
      </w:r>
    </w:p>
    <w:p w14:paraId="6E328120" w14:textId="3A607855" w:rsidR="004F4A14" w:rsidRPr="00117156" w:rsidRDefault="004F4A14" w:rsidP="004D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120" w:line="240" w:lineRule="auto"/>
        <w:jc w:val="both"/>
        <w:rPr>
          <w:rFonts w:cs="Calibri"/>
          <w:b/>
          <w:bCs/>
          <w:color w:val="C00000"/>
        </w:rPr>
      </w:pPr>
      <w:r w:rsidRPr="00117156">
        <w:rPr>
          <w:rFonts w:cs="Calibri"/>
          <w:b/>
          <w:bCs/>
          <w:color w:val="C00000"/>
        </w:rPr>
        <w:t xml:space="preserve">- </w:t>
      </w:r>
      <w:r w:rsidR="00333123">
        <w:rPr>
          <w:rFonts w:cs="Calibri"/>
          <w:b/>
          <w:bCs/>
          <w:color w:val="C00000"/>
        </w:rPr>
        <w:t>490,23</w:t>
      </w:r>
      <w:r w:rsidRPr="00117156">
        <w:rPr>
          <w:rFonts w:cs="Calibri"/>
          <w:b/>
          <w:bCs/>
          <w:color w:val="C00000"/>
        </w:rPr>
        <w:t xml:space="preserve"> m</w:t>
      </w:r>
      <w:r w:rsidR="00CF1A69" w:rsidRPr="00117156">
        <w:rPr>
          <w:rFonts w:cs="Calibri"/>
          <w:b/>
          <w:bCs/>
          <w:color w:val="C00000"/>
        </w:rPr>
        <w:t>il</w:t>
      </w:r>
      <w:r w:rsidR="0051534E" w:rsidRPr="00117156">
        <w:rPr>
          <w:rFonts w:cs="Calibri"/>
          <w:b/>
          <w:bCs/>
          <w:color w:val="C00000"/>
        </w:rPr>
        <w:t>.</w:t>
      </w:r>
      <w:r w:rsidRPr="00117156">
        <w:rPr>
          <w:rFonts w:cs="Calibri"/>
          <w:b/>
          <w:bCs/>
          <w:color w:val="C00000"/>
        </w:rPr>
        <w:t xml:space="preserve"> EUR</w:t>
      </w:r>
      <w:r w:rsidR="0051534E" w:rsidRPr="00117156">
        <w:rPr>
          <w:rFonts w:cs="Calibri"/>
          <w:b/>
          <w:bCs/>
          <w:color w:val="C00000"/>
        </w:rPr>
        <w:t xml:space="preserve"> pôjde na riešenie </w:t>
      </w:r>
      <w:proofErr w:type="spellStart"/>
      <w:r w:rsidR="0051534E" w:rsidRPr="00117156">
        <w:rPr>
          <w:rFonts w:cs="Calibri"/>
          <w:b/>
          <w:bCs/>
          <w:color w:val="C00000"/>
        </w:rPr>
        <w:t>energokrízy</w:t>
      </w:r>
      <w:proofErr w:type="spellEnd"/>
      <w:r w:rsidR="00CF1A69" w:rsidRPr="00117156">
        <w:rPr>
          <w:rFonts w:cs="Calibri"/>
          <w:b/>
          <w:bCs/>
          <w:color w:val="C00000"/>
        </w:rPr>
        <w:t xml:space="preserve"> (500,08 mil. EUR už bolo vyplatených</w:t>
      </w:r>
      <w:r w:rsidR="0041713E">
        <w:rPr>
          <w:rFonts w:cs="Calibri"/>
          <w:b/>
          <w:bCs/>
          <w:color w:val="C00000"/>
        </w:rPr>
        <w:t>)</w:t>
      </w:r>
      <w:r w:rsidR="0051534E" w:rsidRPr="00117156">
        <w:rPr>
          <w:rFonts w:cs="Calibri"/>
          <w:b/>
          <w:bCs/>
          <w:color w:val="C00000"/>
        </w:rPr>
        <w:t>;</w:t>
      </w:r>
    </w:p>
    <w:p w14:paraId="4AFCE6E9" w14:textId="074944BB" w:rsidR="004F4A14" w:rsidRPr="00117156" w:rsidRDefault="004F4A14" w:rsidP="004D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both"/>
        <w:rPr>
          <w:rFonts w:cs="Calibri"/>
          <w:b/>
          <w:bCs/>
          <w:color w:val="C00000"/>
        </w:rPr>
      </w:pPr>
      <w:r w:rsidRPr="00117156">
        <w:rPr>
          <w:rFonts w:cs="Calibri"/>
          <w:b/>
          <w:bCs/>
          <w:color w:val="C00000"/>
        </w:rPr>
        <w:t xml:space="preserve">- </w:t>
      </w:r>
      <w:r w:rsidR="00DE2D02">
        <w:rPr>
          <w:rFonts w:cs="Calibri"/>
          <w:b/>
          <w:bCs/>
          <w:color w:val="C00000"/>
        </w:rPr>
        <w:t>61</w:t>
      </w:r>
      <w:r w:rsidR="00202638">
        <w:rPr>
          <w:rFonts w:cs="Calibri"/>
          <w:b/>
          <w:bCs/>
          <w:color w:val="C00000"/>
        </w:rPr>
        <w:t>,</w:t>
      </w:r>
      <w:r w:rsidR="00DE2D02">
        <w:rPr>
          <w:rFonts w:cs="Calibri"/>
          <w:b/>
          <w:bCs/>
          <w:color w:val="C00000"/>
        </w:rPr>
        <w:t>45</w:t>
      </w:r>
      <w:r w:rsidR="0026489A" w:rsidRPr="00117156">
        <w:rPr>
          <w:rFonts w:cs="Calibri"/>
          <w:b/>
          <w:bCs/>
          <w:color w:val="C00000"/>
        </w:rPr>
        <w:t xml:space="preserve"> </w:t>
      </w:r>
      <w:r w:rsidRPr="00117156">
        <w:rPr>
          <w:rFonts w:cs="Calibri"/>
          <w:b/>
          <w:bCs/>
          <w:color w:val="C00000"/>
        </w:rPr>
        <w:t>mil. EUR na podporu UA utečencov (</w:t>
      </w:r>
      <w:r w:rsidR="0026489A" w:rsidRPr="00117156">
        <w:rPr>
          <w:rFonts w:cs="Calibri"/>
          <w:b/>
          <w:bCs/>
          <w:color w:val="C00000"/>
        </w:rPr>
        <w:t>2</w:t>
      </w:r>
      <w:r w:rsidR="00DE2D02">
        <w:rPr>
          <w:rFonts w:cs="Calibri"/>
          <w:b/>
          <w:bCs/>
          <w:color w:val="C00000"/>
        </w:rPr>
        <w:t>77</w:t>
      </w:r>
      <w:r w:rsidR="00CF1A69" w:rsidRPr="00117156">
        <w:rPr>
          <w:rFonts w:cs="Calibri"/>
          <w:b/>
          <w:bCs/>
          <w:color w:val="C00000"/>
        </w:rPr>
        <w:t>,</w:t>
      </w:r>
      <w:r w:rsidR="00DE2D02">
        <w:rPr>
          <w:rFonts w:cs="Calibri"/>
          <w:b/>
          <w:bCs/>
          <w:color w:val="C00000"/>
        </w:rPr>
        <w:t>81</w:t>
      </w:r>
      <w:r w:rsidRPr="00117156">
        <w:rPr>
          <w:rFonts w:cs="Calibri"/>
          <w:b/>
          <w:bCs/>
          <w:color w:val="C00000"/>
        </w:rPr>
        <w:t xml:space="preserve"> mil.</w:t>
      </w:r>
      <w:r w:rsidR="0051534E" w:rsidRPr="00117156">
        <w:rPr>
          <w:rFonts w:cs="Calibri"/>
          <w:b/>
          <w:bCs/>
          <w:color w:val="C00000"/>
        </w:rPr>
        <w:t xml:space="preserve"> EUR už bolo vyplatených);</w:t>
      </w:r>
    </w:p>
    <w:p w14:paraId="0C277FAE" w14:textId="4BDFD365" w:rsidR="005726AB" w:rsidRPr="00117156" w:rsidRDefault="004F4A14" w:rsidP="004D2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both"/>
        <w:rPr>
          <w:rFonts w:cs="Calibri"/>
          <w:b/>
          <w:bCs/>
          <w:color w:val="C00000"/>
        </w:rPr>
      </w:pPr>
      <w:r w:rsidRPr="00117156">
        <w:rPr>
          <w:rFonts w:cs="Calibri"/>
          <w:b/>
          <w:bCs/>
          <w:color w:val="C00000"/>
        </w:rPr>
        <w:t xml:space="preserve">- </w:t>
      </w:r>
      <w:r w:rsidR="00DE2D02">
        <w:rPr>
          <w:rFonts w:cs="Calibri"/>
          <w:b/>
          <w:bCs/>
          <w:color w:val="C00000"/>
        </w:rPr>
        <w:t>532,39</w:t>
      </w:r>
      <w:r w:rsidRPr="00117156">
        <w:rPr>
          <w:rFonts w:cs="Calibri"/>
          <w:b/>
          <w:bCs/>
          <w:color w:val="C00000"/>
        </w:rPr>
        <w:t xml:space="preserve"> m</w:t>
      </w:r>
      <w:r w:rsidR="00DE2D02">
        <w:rPr>
          <w:rFonts w:cs="Calibri"/>
          <w:b/>
          <w:bCs/>
          <w:color w:val="C00000"/>
        </w:rPr>
        <w:t>i</w:t>
      </w:r>
      <w:r w:rsidRPr="00117156">
        <w:rPr>
          <w:rFonts w:cs="Calibri"/>
          <w:b/>
          <w:bCs/>
          <w:color w:val="C00000"/>
        </w:rPr>
        <w:t xml:space="preserve">l. EUR na realizáciu </w:t>
      </w:r>
      <w:proofErr w:type="spellStart"/>
      <w:r w:rsidRPr="00117156">
        <w:rPr>
          <w:rFonts w:cs="Calibri"/>
          <w:b/>
          <w:bCs/>
          <w:color w:val="C00000"/>
        </w:rPr>
        <w:t>zazmluvnených</w:t>
      </w:r>
      <w:proofErr w:type="spellEnd"/>
      <w:r w:rsidRPr="00117156">
        <w:rPr>
          <w:rFonts w:cs="Calibri"/>
          <w:b/>
          <w:bCs/>
          <w:color w:val="C00000"/>
        </w:rPr>
        <w:t xml:space="preserve"> projektov.</w:t>
      </w:r>
    </w:p>
    <w:p w14:paraId="2C8BF8F6" w14:textId="6CCB37DC" w:rsidR="005E627C" w:rsidRPr="00117156" w:rsidRDefault="005E627C" w:rsidP="004D28EC">
      <w:pPr>
        <w:suppressAutoHyphens w:val="0"/>
        <w:spacing w:before="120" w:line="240" w:lineRule="auto"/>
        <w:jc w:val="both"/>
        <w:rPr>
          <w:rFonts w:cs="Calibri"/>
          <w:b/>
          <w:bCs/>
          <w:color w:val="C00000"/>
          <w:u w:val="single"/>
        </w:rPr>
      </w:pPr>
      <w:r w:rsidRPr="00117156">
        <w:rPr>
          <w:rFonts w:cs="Calibri"/>
          <w:b/>
          <w:bCs/>
          <w:color w:val="C00000"/>
          <w:u w:val="single"/>
        </w:rPr>
        <w:t xml:space="preserve">POKROK V IMPLEMENTÁCII OD </w:t>
      </w:r>
      <w:r w:rsidR="00883D38" w:rsidRPr="00117156">
        <w:rPr>
          <w:rFonts w:cs="Calibri"/>
          <w:b/>
          <w:bCs/>
          <w:color w:val="C00000"/>
          <w:u w:val="single"/>
        </w:rPr>
        <w:t>01</w:t>
      </w:r>
      <w:r w:rsidRPr="00117156">
        <w:rPr>
          <w:rFonts w:cs="Calibri"/>
          <w:b/>
          <w:bCs/>
          <w:color w:val="C00000"/>
          <w:u w:val="single"/>
        </w:rPr>
        <w:t>.0</w:t>
      </w:r>
      <w:r w:rsidR="00883D38" w:rsidRPr="00117156">
        <w:rPr>
          <w:rFonts w:cs="Calibri"/>
          <w:b/>
          <w:bCs/>
          <w:color w:val="C00000"/>
          <w:u w:val="single"/>
        </w:rPr>
        <w:t>1</w:t>
      </w:r>
      <w:r w:rsidRPr="00117156">
        <w:rPr>
          <w:rFonts w:cs="Calibri"/>
          <w:b/>
          <w:bCs/>
          <w:color w:val="C00000"/>
          <w:u w:val="single"/>
        </w:rPr>
        <w:t>.202</w:t>
      </w:r>
      <w:r w:rsidR="00DE2D02">
        <w:rPr>
          <w:rFonts w:cs="Calibri"/>
          <w:b/>
          <w:bCs/>
          <w:color w:val="C00000"/>
          <w:u w:val="single"/>
        </w:rPr>
        <w:t>4</w:t>
      </w:r>
      <w:r w:rsidR="00DB6AD0" w:rsidRPr="00117156">
        <w:rPr>
          <w:rFonts w:cs="Calibri"/>
          <w:b/>
          <w:bCs/>
          <w:color w:val="C00000"/>
          <w:u w:val="single"/>
        </w:rPr>
        <w:t xml:space="preserve"> do </w:t>
      </w:r>
      <w:r w:rsidR="00DE2D02">
        <w:rPr>
          <w:rFonts w:cs="Calibri"/>
          <w:b/>
          <w:bCs/>
          <w:color w:val="C00000"/>
          <w:u w:val="single"/>
        </w:rPr>
        <w:t>09</w:t>
      </w:r>
      <w:r w:rsidR="00DB6AD0" w:rsidRPr="00117156">
        <w:rPr>
          <w:rFonts w:cs="Calibri"/>
          <w:b/>
          <w:bCs/>
          <w:color w:val="C00000"/>
          <w:u w:val="single"/>
        </w:rPr>
        <w:t>.</w:t>
      </w:r>
      <w:r w:rsidR="00DE2D02">
        <w:rPr>
          <w:rFonts w:cs="Calibri"/>
          <w:b/>
          <w:bCs/>
          <w:color w:val="C00000"/>
          <w:u w:val="single"/>
        </w:rPr>
        <w:t>02</w:t>
      </w:r>
      <w:r w:rsidR="00DB6AD0" w:rsidRPr="00117156">
        <w:rPr>
          <w:rFonts w:cs="Calibri"/>
          <w:b/>
          <w:bCs/>
          <w:color w:val="C00000"/>
          <w:u w:val="single"/>
        </w:rPr>
        <w:t>.202</w:t>
      </w:r>
      <w:r w:rsidR="00DE2D02">
        <w:rPr>
          <w:rFonts w:cs="Calibri"/>
          <w:b/>
          <w:bCs/>
          <w:color w:val="C00000"/>
          <w:u w:val="single"/>
        </w:rPr>
        <w:t>4</w:t>
      </w:r>
      <w:r w:rsidR="00DB6AD0" w:rsidRPr="00117156">
        <w:rPr>
          <w:rFonts w:cs="Calibri"/>
          <w:b/>
          <w:bCs/>
          <w:color w:val="C00000"/>
          <w:u w:val="single"/>
        </w:rPr>
        <w:t>:</w:t>
      </w:r>
    </w:p>
    <w:p w14:paraId="518E4A50" w14:textId="5C417D2B" w:rsidR="00DB6AD0" w:rsidRPr="00117156" w:rsidRDefault="00DB6AD0" w:rsidP="004D28EC">
      <w:pPr>
        <w:pStyle w:val="Odsekzoznamu"/>
        <w:numPr>
          <w:ilvl w:val="0"/>
          <w:numId w:val="35"/>
        </w:numPr>
        <w:spacing w:before="120" w:line="240" w:lineRule="auto"/>
        <w:ind w:left="714" w:hanging="357"/>
        <w:contextualSpacing w:val="0"/>
        <w:jc w:val="both"/>
        <w:rPr>
          <w:rFonts w:cs="Calibri"/>
          <w:b/>
          <w:bCs/>
        </w:rPr>
      </w:pPr>
      <w:r w:rsidRPr="00117156">
        <w:rPr>
          <w:rFonts w:cs="Calibri"/>
          <w:b/>
        </w:rPr>
        <w:t>v roku 202</w:t>
      </w:r>
      <w:r w:rsidR="00DE2D02">
        <w:rPr>
          <w:rFonts w:cs="Calibri"/>
          <w:b/>
        </w:rPr>
        <w:t>4</w:t>
      </w:r>
      <w:r w:rsidRPr="00117156">
        <w:rPr>
          <w:rFonts w:cs="Calibri"/>
          <w:b/>
        </w:rPr>
        <w:t xml:space="preserve"> bolo k </w:t>
      </w:r>
      <w:r w:rsidR="00DE2D02">
        <w:rPr>
          <w:rFonts w:cs="Calibri"/>
          <w:b/>
        </w:rPr>
        <w:t>09</w:t>
      </w:r>
      <w:r w:rsidRPr="00117156">
        <w:rPr>
          <w:rFonts w:cs="Calibri"/>
          <w:b/>
        </w:rPr>
        <w:t>.</w:t>
      </w:r>
      <w:r w:rsidR="00DE2D02">
        <w:rPr>
          <w:rFonts w:cs="Calibri"/>
          <w:b/>
        </w:rPr>
        <w:t>02</w:t>
      </w:r>
      <w:r w:rsidRPr="00117156">
        <w:rPr>
          <w:rFonts w:cs="Calibri"/>
          <w:b/>
        </w:rPr>
        <w:t>.202</w:t>
      </w:r>
      <w:r w:rsidR="00DE2D02">
        <w:rPr>
          <w:rFonts w:cs="Calibri"/>
          <w:b/>
        </w:rPr>
        <w:t>4</w:t>
      </w:r>
      <w:r w:rsidRPr="00117156">
        <w:rPr>
          <w:rFonts w:cs="Calibri"/>
          <w:b/>
        </w:rPr>
        <w:t xml:space="preserve"> vyčerpaných </w:t>
      </w:r>
      <w:r w:rsidRPr="00117156">
        <w:rPr>
          <w:rFonts w:cs="Calibri"/>
          <w:bCs/>
        </w:rPr>
        <w:t xml:space="preserve">spolu </w:t>
      </w:r>
      <w:r w:rsidR="00DE2D02">
        <w:rPr>
          <w:rFonts w:cs="Calibri"/>
          <w:bCs/>
        </w:rPr>
        <w:t>306,10</w:t>
      </w:r>
      <w:r w:rsidRPr="00117156">
        <w:rPr>
          <w:rFonts w:cs="Calibri"/>
          <w:bCs/>
        </w:rPr>
        <w:t xml:space="preserve"> m</w:t>
      </w:r>
      <w:r w:rsidR="00DE2D02">
        <w:rPr>
          <w:rFonts w:cs="Calibri"/>
          <w:bCs/>
        </w:rPr>
        <w:t>i</w:t>
      </w:r>
      <w:r w:rsidRPr="00117156">
        <w:rPr>
          <w:rFonts w:cs="Calibri"/>
          <w:bCs/>
        </w:rPr>
        <w:t>l. EUR,</w:t>
      </w:r>
      <w:r w:rsidR="00883D38" w:rsidRPr="00117156">
        <w:rPr>
          <w:rFonts w:cs="Calibri"/>
          <w:b/>
          <w:bCs/>
        </w:rPr>
        <w:t xml:space="preserve"> čo predstavuje nárast o </w:t>
      </w:r>
      <w:r w:rsidR="00202638">
        <w:rPr>
          <w:rFonts w:cs="Calibri"/>
          <w:b/>
          <w:bCs/>
        </w:rPr>
        <w:t>2</w:t>
      </w:r>
      <w:r w:rsidR="00883D38" w:rsidRPr="00117156">
        <w:rPr>
          <w:rFonts w:cs="Calibri"/>
          <w:b/>
          <w:bCs/>
        </w:rPr>
        <w:t>,</w:t>
      </w:r>
      <w:r w:rsidR="00DE2D02">
        <w:rPr>
          <w:rFonts w:cs="Calibri"/>
          <w:b/>
          <w:bCs/>
        </w:rPr>
        <w:t>11</w:t>
      </w:r>
      <w:r w:rsidR="00883D38" w:rsidRPr="00117156">
        <w:rPr>
          <w:rFonts w:cs="Calibri"/>
          <w:b/>
          <w:bCs/>
        </w:rPr>
        <w:t xml:space="preserve"> p. b.; zo </w:t>
      </w:r>
      <w:r w:rsidR="00DE2D02">
        <w:rPr>
          <w:rFonts w:cs="Calibri"/>
          <w:b/>
          <w:bCs/>
        </w:rPr>
        <w:t>90,41</w:t>
      </w:r>
      <w:r w:rsidR="00883D38" w:rsidRPr="00117156">
        <w:rPr>
          <w:rFonts w:cs="Calibri"/>
          <w:b/>
          <w:bCs/>
        </w:rPr>
        <w:t xml:space="preserve"> % na </w:t>
      </w:r>
      <w:r w:rsidR="00DE2D02">
        <w:rPr>
          <w:rFonts w:cs="Calibri"/>
          <w:b/>
          <w:bCs/>
        </w:rPr>
        <w:t>92,52</w:t>
      </w:r>
      <w:r w:rsidR="00883D38" w:rsidRPr="00117156">
        <w:rPr>
          <w:rFonts w:cs="Calibri"/>
          <w:b/>
          <w:bCs/>
        </w:rPr>
        <w:t xml:space="preserve"> %;</w:t>
      </w:r>
    </w:p>
    <w:p w14:paraId="62EC2ADD" w14:textId="576BC1A5" w:rsidR="005726AB" w:rsidRPr="00117156" w:rsidRDefault="005726AB" w:rsidP="004D28EC">
      <w:pPr>
        <w:suppressAutoHyphens w:val="0"/>
        <w:spacing w:before="120" w:line="240" w:lineRule="auto"/>
        <w:jc w:val="both"/>
        <w:rPr>
          <w:rFonts w:cs="Calibri"/>
          <w:b/>
          <w:bCs/>
          <w:u w:val="single"/>
        </w:rPr>
      </w:pPr>
      <w:r w:rsidRPr="00117156">
        <w:rPr>
          <w:rFonts w:cs="Calibri"/>
          <w:b/>
          <w:bCs/>
          <w:u w:val="single"/>
        </w:rPr>
        <w:t xml:space="preserve">Kľúčové opatrenia na vyčerpanie </w:t>
      </w:r>
      <w:r w:rsidR="00202638">
        <w:rPr>
          <w:rFonts w:cs="Calibri"/>
          <w:b/>
          <w:bCs/>
          <w:u w:val="single"/>
        </w:rPr>
        <w:t>1,</w:t>
      </w:r>
      <w:r w:rsidR="00DE2D02">
        <w:rPr>
          <w:rFonts w:cs="Calibri"/>
          <w:b/>
          <w:bCs/>
          <w:u w:val="single"/>
        </w:rPr>
        <w:t>08</w:t>
      </w:r>
      <w:r w:rsidRPr="00117156">
        <w:rPr>
          <w:rFonts w:cs="Calibri"/>
          <w:b/>
          <w:bCs/>
          <w:u w:val="single"/>
        </w:rPr>
        <w:t xml:space="preserve"> mld. EUR sú:</w:t>
      </w:r>
    </w:p>
    <w:p w14:paraId="7D884E2B" w14:textId="671C5A5E" w:rsidR="002A3872" w:rsidRPr="00117156" w:rsidRDefault="0030344C" w:rsidP="004D28EC">
      <w:pPr>
        <w:pStyle w:val="Odsekzoznamu"/>
        <w:numPr>
          <w:ilvl w:val="0"/>
          <w:numId w:val="7"/>
        </w:numPr>
        <w:suppressAutoHyphens w:val="0"/>
        <w:spacing w:before="120" w:line="240" w:lineRule="auto"/>
        <w:ind w:left="426" w:hanging="284"/>
        <w:contextualSpacing w:val="0"/>
        <w:jc w:val="both"/>
        <w:rPr>
          <w:rFonts w:cs="Calibri"/>
        </w:rPr>
      </w:pPr>
      <w:r>
        <w:rPr>
          <w:rFonts w:cs="Calibri"/>
          <w:b/>
        </w:rPr>
        <w:t>predkladanie záverečných žiadostí o platby prijímateľ</w:t>
      </w:r>
      <w:r w:rsidR="003035BD">
        <w:rPr>
          <w:rFonts w:cs="Calibri"/>
          <w:b/>
        </w:rPr>
        <w:t>mi</w:t>
      </w:r>
      <w:r>
        <w:rPr>
          <w:rFonts w:cs="Calibri"/>
          <w:b/>
        </w:rPr>
        <w:t xml:space="preserve"> projektov</w:t>
      </w:r>
      <w:r w:rsidR="003341FB" w:rsidRPr="00117156">
        <w:rPr>
          <w:rFonts w:cs="Calibri"/>
        </w:rPr>
        <w:t>;</w:t>
      </w:r>
    </w:p>
    <w:p w14:paraId="1CD56EA6" w14:textId="55D7EEA5" w:rsidR="000E12EC" w:rsidRPr="00117156" w:rsidRDefault="003341FB" w:rsidP="004D28EC">
      <w:pPr>
        <w:pStyle w:val="Odsekzoznamu"/>
        <w:numPr>
          <w:ilvl w:val="0"/>
          <w:numId w:val="7"/>
        </w:numPr>
        <w:suppressAutoHyphens w:val="0"/>
        <w:spacing w:before="120" w:line="240" w:lineRule="auto"/>
        <w:ind w:left="426" w:hanging="284"/>
        <w:contextualSpacing w:val="0"/>
        <w:jc w:val="both"/>
        <w:rPr>
          <w:rFonts w:cs="Calibri"/>
        </w:rPr>
      </w:pPr>
      <w:r w:rsidRPr="00117156">
        <w:rPr>
          <w:rFonts w:cs="Calibri"/>
          <w:b/>
          <w:bCs/>
        </w:rPr>
        <w:t xml:space="preserve">SAFE </w:t>
      </w:r>
      <w:r w:rsidRPr="00117156">
        <w:rPr>
          <w:rFonts w:cs="Calibri"/>
          <w:bCs/>
        </w:rPr>
        <w:t>(</w:t>
      </w:r>
      <w:r w:rsidR="0068306B" w:rsidRPr="00117156">
        <w:rPr>
          <w:rFonts w:cs="Calibri"/>
          <w:bCs/>
        </w:rPr>
        <w:t xml:space="preserve">podpora </w:t>
      </w:r>
      <w:r w:rsidRPr="00117156">
        <w:rPr>
          <w:rFonts w:cs="Calibri"/>
          <w:bCs/>
        </w:rPr>
        <w:t>riešeni</w:t>
      </w:r>
      <w:r w:rsidR="0068306B" w:rsidRPr="00117156">
        <w:rPr>
          <w:rFonts w:cs="Calibri"/>
          <w:bCs/>
        </w:rPr>
        <w:t>a</w:t>
      </w:r>
      <w:r w:rsidRPr="00117156">
        <w:rPr>
          <w:rFonts w:cs="Calibri"/>
          <w:bCs/>
        </w:rPr>
        <w:t xml:space="preserve"> </w:t>
      </w:r>
      <w:proofErr w:type="spellStart"/>
      <w:r w:rsidRPr="00117156">
        <w:rPr>
          <w:rFonts w:cs="Calibri"/>
          <w:bCs/>
        </w:rPr>
        <w:t>energokrízy</w:t>
      </w:r>
      <w:proofErr w:type="spellEnd"/>
      <w:r w:rsidR="0068306B" w:rsidRPr="00117156">
        <w:rPr>
          <w:rFonts w:cs="Calibri"/>
          <w:bCs/>
        </w:rPr>
        <w:t xml:space="preserve"> z eurofondov</w:t>
      </w:r>
      <w:r w:rsidRPr="00117156">
        <w:rPr>
          <w:rFonts w:cs="Calibri"/>
          <w:bCs/>
        </w:rPr>
        <w:t>)</w:t>
      </w:r>
      <w:r w:rsidR="0068306B" w:rsidRPr="00117156">
        <w:rPr>
          <w:rFonts w:cs="Calibri"/>
          <w:b/>
          <w:bCs/>
        </w:rPr>
        <w:t xml:space="preserve"> v súčasnosti RO avizujú vyčleniť </w:t>
      </w:r>
      <w:r w:rsidRPr="00117156">
        <w:rPr>
          <w:rFonts w:cs="Calibri"/>
          <w:b/>
        </w:rPr>
        <w:t>1,</w:t>
      </w:r>
      <w:r w:rsidR="00495E13" w:rsidRPr="00117156">
        <w:rPr>
          <w:rFonts w:cs="Calibri"/>
          <w:b/>
        </w:rPr>
        <w:t>0</w:t>
      </w:r>
      <w:r w:rsidR="008E5213" w:rsidRPr="00117156">
        <w:rPr>
          <w:rFonts w:cs="Calibri"/>
          <w:b/>
        </w:rPr>
        <w:t>3</w:t>
      </w:r>
      <w:r w:rsidRPr="00117156">
        <w:rPr>
          <w:rFonts w:cs="Calibri"/>
          <w:b/>
        </w:rPr>
        <w:t xml:space="preserve"> mld. EUR</w:t>
      </w:r>
      <w:r w:rsidRPr="00117156">
        <w:rPr>
          <w:rFonts w:cs="Calibri"/>
        </w:rPr>
        <w:t>, s možnosťou navýšenia až do výšky 1,45 mld. EUR</w:t>
      </w:r>
      <w:r w:rsidR="0068306B" w:rsidRPr="00117156">
        <w:rPr>
          <w:rFonts w:cs="Calibri"/>
        </w:rPr>
        <w:t xml:space="preserve">, a to na </w:t>
      </w:r>
      <w:r w:rsidRPr="00117156">
        <w:rPr>
          <w:rFonts w:cs="Calibri"/>
        </w:rPr>
        <w:t xml:space="preserve">pomoc </w:t>
      </w:r>
      <w:r w:rsidR="00B176FC" w:rsidRPr="00117156">
        <w:rPr>
          <w:rFonts w:cs="Calibri"/>
        </w:rPr>
        <w:t xml:space="preserve">zraniteľným </w:t>
      </w:r>
      <w:r w:rsidRPr="00117156">
        <w:rPr>
          <w:rFonts w:cs="Calibri"/>
        </w:rPr>
        <w:t xml:space="preserve">domácnostiam prostredníctvom </w:t>
      </w:r>
      <w:r w:rsidR="002E438E" w:rsidRPr="00117156">
        <w:rPr>
          <w:rFonts w:cs="Calibri"/>
        </w:rPr>
        <w:t>3</w:t>
      </w:r>
      <w:r w:rsidRPr="00117156">
        <w:rPr>
          <w:rFonts w:cs="Calibri"/>
        </w:rPr>
        <w:t xml:space="preserve"> OP, a to: OP II, OP KŽP a</w:t>
      </w:r>
      <w:r w:rsidR="00566472" w:rsidRPr="00117156">
        <w:rPr>
          <w:rFonts w:cs="Calibri"/>
          <w:color w:val="1F497D"/>
        </w:rPr>
        <w:t> </w:t>
      </w:r>
      <w:r w:rsidRPr="00117156">
        <w:rPr>
          <w:rFonts w:cs="Calibri"/>
        </w:rPr>
        <w:t>IROP</w:t>
      </w:r>
      <w:r w:rsidR="00566472" w:rsidRPr="00117156">
        <w:rPr>
          <w:rFonts w:cs="Calibri"/>
          <w:b/>
          <w:bCs/>
        </w:rPr>
        <w:t xml:space="preserve">. </w:t>
      </w:r>
      <w:r w:rsidR="001543E7" w:rsidRPr="00117156">
        <w:rPr>
          <w:rFonts w:cs="Calibri"/>
          <w:b/>
          <w:bCs/>
        </w:rPr>
        <w:t>Revízi</w:t>
      </w:r>
      <w:r w:rsidR="00DE2D02">
        <w:rPr>
          <w:rFonts w:cs="Calibri"/>
          <w:b/>
          <w:bCs/>
        </w:rPr>
        <w:t>e</w:t>
      </w:r>
      <w:r w:rsidR="001543E7" w:rsidRPr="00117156">
        <w:rPr>
          <w:rFonts w:cs="Calibri"/>
          <w:b/>
          <w:bCs/>
        </w:rPr>
        <w:t xml:space="preserve"> OP už bol</w:t>
      </w:r>
      <w:r w:rsidR="00DE2D02">
        <w:rPr>
          <w:rFonts w:cs="Calibri"/>
          <w:b/>
          <w:bCs/>
        </w:rPr>
        <w:t>i</w:t>
      </w:r>
      <w:r w:rsidR="001543E7" w:rsidRPr="00117156">
        <w:rPr>
          <w:rFonts w:cs="Calibri"/>
          <w:b/>
          <w:bCs/>
        </w:rPr>
        <w:t xml:space="preserve"> schválen</w:t>
      </w:r>
      <w:r w:rsidR="003035BD">
        <w:rPr>
          <w:rFonts w:cs="Calibri"/>
          <w:b/>
          <w:bCs/>
        </w:rPr>
        <w:t>é</w:t>
      </w:r>
      <w:r w:rsidR="001543E7" w:rsidRPr="00117156">
        <w:rPr>
          <w:rFonts w:cs="Calibri"/>
          <w:b/>
          <w:bCs/>
        </w:rPr>
        <w:t xml:space="preserve"> EK</w:t>
      </w:r>
      <w:r w:rsidR="00B2385E" w:rsidRPr="00117156">
        <w:rPr>
          <w:rFonts w:cs="Calibri"/>
          <w:b/>
          <w:bCs/>
        </w:rPr>
        <w:t>.</w:t>
      </w:r>
      <w:r w:rsidR="001543E7" w:rsidRPr="00117156">
        <w:rPr>
          <w:rFonts w:cs="Calibri"/>
          <w:b/>
          <w:bCs/>
        </w:rPr>
        <w:t xml:space="preserve"> V rámci tejto iniciatívy EK už bolo vyplatených 500,0</w:t>
      </w:r>
      <w:r w:rsidR="00D522B7" w:rsidRPr="00117156">
        <w:rPr>
          <w:rFonts w:cs="Calibri"/>
          <w:b/>
          <w:bCs/>
        </w:rPr>
        <w:t>8</w:t>
      </w:r>
      <w:r w:rsidR="001543E7" w:rsidRPr="00117156">
        <w:rPr>
          <w:rFonts w:cs="Calibri"/>
          <w:b/>
          <w:bCs/>
        </w:rPr>
        <w:t xml:space="preserve"> mil. EUR </w:t>
      </w:r>
      <w:r w:rsidR="001543E7" w:rsidRPr="00117156">
        <w:rPr>
          <w:rFonts w:cs="Calibri"/>
          <w:bCs/>
        </w:rPr>
        <w:t>(za OP II)</w:t>
      </w:r>
      <w:r w:rsidR="00DE2D02">
        <w:rPr>
          <w:rFonts w:cs="Calibri"/>
          <w:bCs/>
        </w:rPr>
        <w:t xml:space="preserve">, zakontrahovaných bolo zatiaľ </w:t>
      </w:r>
      <w:r w:rsidR="003035BD">
        <w:rPr>
          <w:rFonts w:cs="Calibri"/>
          <w:bCs/>
        </w:rPr>
        <w:t>990,32</w:t>
      </w:r>
      <w:r w:rsidR="004D28EC">
        <w:rPr>
          <w:rFonts w:cs="Calibri"/>
          <w:bCs/>
        </w:rPr>
        <w:t> </w:t>
      </w:r>
      <w:r w:rsidR="003035BD">
        <w:rPr>
          <w:rFonts w:cs="Calibri"/>
          <w:bCs/>
        </w:rPr>
        <w:t>mil. EUR;</w:t>
      </w:r>
    </w:p>
    <w:p w14:paraId="53E12F7E" w14:textId="1B93BACB" w:rsidR="0027365D" w:rsidRPr="00117156" w:rsidRDefault="0027365D" w:rsidP="004D28EC">
      <w:pPr>
        <w:pStyle w:val="Odsekzoznamu"/>
        <w:numPr>
          <w:ilvl w:val="0"/>
          <w:numId w:val="7"/>
        </w:numPr>
        <w:suppressAutoHyphens w:val="0"/>
        <w:spacing w:before="120" w:line="240" w:lineRule="auto"/>
        <w:ind w:left="426" w:hanging="284"/>
        <w:contextualSpacing w:val="0"/>
        <w:jc w:val="both"/>
        <w:rPr>
          <w:rFonts w:cs="Calibri"/>
          <w:b/>
          <w:bCs/>
        </w:rPr>
      </w:pPr>
      <w:r w:rsidRPr="00117156">
        <w:rPr>
          <w:rFonts w:cs="Calibri"/>
          <w:b/>
          <w:bCs/>
        </w:rPr>
        <w:t xml:space="preserve">FAST CARE </w:t>
      </w:r>
      <w:r w:rsidRPr="00117156">
        <w:rPr>
          <w:rFonts w:cs="Calibri"/>
          <w:bCs/>
        </w:rPr>
        <w:t>(pomoc UA utečencom)</w:t>
      </w:r>
      <w:r w:rsidRPr="00117156">
        <w:rPr>
          <w:rFonts w:cs="Calibri"/>
          <w:b/>
          <w:bCs/>
        </w:rPr>
        <w:t xml:space="preserve"> – </w:t>
      </w:r>
      <w:r w:rsidRPr="00117156">
        <w:rPr>
          <w:rFonts w:cs="Calibri"/>
          <w:b/>
        </w:rPr>
        <w:t>3</w:t>
      </w:r>
      <w:r w:rsidR="001215CF" w:rsidRPr="00117156">
        <w:rPr>
          <w:rFonts w:cs="Calibri"/>
          <w:b/>
        </w:rPr>
        <w:t>39</w:t>
      </w:r>
      <w:r w:rsidRPr="00117156">
        <w:rPr>
          <w:rFonts w:cs="Calibri"/>
          <w:b/>
        </w:rPr>
        <w:t>,</w:t>
      </w:r>
      <w:r w:rsidR="001215CF" w:rsidRPr="00117156">
        <w:rPr>
          <w:rFonts w:cs="Calibri"/>
          <w:b/>
        </w:rPr>
        <w:t>5</w:t>
      </w:r>
      <w:r w:rsidRPr="00117156">
        <w:rPr>
          <w:rFonts w:cs="Calibri"/>
          <w:b/>
        </w:rPr>
        <w:t>6 mil. EUR</w:t>
      </w:r>
      <w:r w:rsidRPr="00117156">
        <w:rPr>
          <w:rFonts w:cs="Calibri"/>
        </w:rPr>
        <w:t xml:space="preserve"> je presmerovaných na výdavky súvisiace s prvotným prijatím </w:t>
      </w:r>
      <w:r w:rsidRPr="00117156">
        <w:rPr>
          <w:rFonts w:cs="Calibri"/>
          <w:b/>
          <w:bCs/>
        </w:rPr>
        <w:t>UA utečencov</w:t>
      </w:r>
      <w:r w:rsidRPr="00117156">
        <w:rPr>
          <w:rFonts w:cs="Calibri"/>
        </w:rPr>
        <w:t xml:space="preserve"> a ich integráciou do spoločnosti </w:t>
      </w:r>
      <w:r w:rsidR="00E6594A" w:rsidRPr="00117156">
        <w:rPr>
          <w:rFonts w:cs="Calibri"/>
        </w:rPr>
        <w:t>v rámci</w:t>
      </w:r>
      <w:r w:rsidRPr="00117156">
        <w:rPr>
          <w:rFonts w:cs="Calibri"/>
        </w:rPr>
        <w:t xml:space="preserve"> 3 OP, a to: IROP, OP ĽZ a OP II. </w:t>
      </w:r>
      <w:r w:rsidR="001543E7" w:rsidRPr="00117156">
        <w:rPr>
          <w:rFonts w:cs="Calibri"/>
          <w:b/>
        </w:rPr>
        <w:t>K </w:t>
      </w:r>
      <w:r w:rsidR="00DE2D02">
        <w:rPr>
          <w:rFonts w:cs="Calibri"/>
          <w:b/>
        </w:rPr>
        <w:t>09</w:t>
      </w:r>
      <w:r w:rsidR="001543E7" w:rsidRPr="00117156">
        <w:rPr>
          <w:rFonts w:cs="Calibri"/>
          <w:b/>
        </w:rPr>
        <w:t>.</w:t>
      </w:r>
      <w:r w:rsidR="00DE2D02">
        <w:rPr>
          <w:rFonts w:cs="Calibri"/>
          <w:b/>
        </w:rPr>
        <w:t>02</w:t>
      </w:r>
      <w:r w:rsidR="001543E7" w:rsidRPr="00117156">
        <w:rPr>
          <w:rFonts w:cs="Calibri"/>
          <w:b/>
        </w:rPr>
        <w:t>.202</w:t>
      </w:r>
      <w:r w:rsidR="00DE2D02">
        <w:rPr>
          <w:rFonts w:cs="Calibri"/>
          <w:b/>
        </w:rPr>
        <w:t>4</w:t>
      </w:r>
      <w:r w:rsidR="001543E7" w:rsidRPr="00117156">
        <w:rPr>
          <w:rFonts w:cs="Calibri"/>
          <w:b/>
        </w:rPr>
        <w:t xml:space="preserve"> bolo vo výzvach a vyzvaniach FAST-CARE sprístupnených 3</w:t>
      </w:r>
      <w:r w:rsidR="00DE2D02">
        <w:rPr>
          <w:rFonts w:cs="Calibri"/>
          <w:b/>
        </w:rPr>
        <w:t>53</w:t>
      </w:r>
      <w:r w:rsidR="001543E7" w:rsidRPr="00117156">
        <w:rPr>
          <w:rFonts w:cs="Calibri"/>
          <w:b/>
        </w:rPr>
        <w:t>,</w:t>
      </w:r>
      <w:r w:rsidR="00DE2D02">
        <w:rPr>
          <w:rFonts w:cs="Calibri"/>
          <w:b/>
        </w:rPr>
        <w:t>7</w:t>
      </w:r>
      <w:r w:rsidR="001543E7" w:rsidRPr="00117156">
        <w:rPr>
          <w:rFonts w:cs="Calibri"/>
          <w:b/>
        </w:rPr>
        <w:t>2 mil. EUR</w:t>
      </w:r>
      <w:r w:rsidR="00DE2D02">
        <w:rPr>
          <w:rFonts w:cs="Calibri"/>
          <w:b/>
        </w:rPr>
        <w:t>,</w:t>
      </w:r>
      <w:r w:rsidR="001543E7" w:rsidRPr="00117156">
        <w:rPr>
          <w:rFonts w:cs="Calibri"/>
          <w:b/>
        </w:rPr>
        <w:t xml:space="preserve"> </w:t>
      </w:r>
      <w:proofErr w:type="spellStart"/>
      <w:r w:rsidR="001543E7" w:rsidRPr="00117156">
        <w:rPr>
          <w:rFonts w:cs="Calibri"/>
          <w:b/>
        </w:rPr>
        <w:t>zazmluvnených</w:t>
      </w:r>
      <w:proofErr w:type="spellEnd"/>
      <w:r w:rsidR="001543E7" w:rsidRPr="00117156">
        <w:rPr>
          <w:rFonts w:cs="Calibri"/>
          <w:b/>
        </w:rPr>
        <w:t xml:space="preserve"> 3</w:t>
      </w:r>
      <w:r w:rsidR="000E44CF">
        <w:rPr>
          <w:rFonts w:cs="Calibri"/>
          <w:b/>
        </w:rPr>
        <w:t>47</w:t>
      </w:r>
      <w:r w:rsidR="001543E7" w:rsidRPr="00117156">
        <w:rPr>
          <w:rFonts w:cs="Calibri"/>
          <w:b/>
        </w:rPr>
        <w:t>,</w:t>
      </w:r>
      <w:r w:rsidR="000E44CF">
        <w:rPr>
          <w:rFonts w:cs="Calibri"/>
          <w:b/>
        </w:rPr>
        <w:t>75</w:t>
      </w:r>
      <w:r w:rsidR="001543E7" w:rsidRPr="00117156">
        <w:rPr>
          <w:rFonts w:cs="Calibri"/>
          <w:b/>
        </w:rPr>
        <w:t xml:space="preserve"> mil. EUR (</w:t>
      </w:r>
      <w:r w:rsidR="000E44CF">
        <w:rPr>
          <w:rFonts w:cs="Calibri"/>
          <w:b/>
        </w:rPr>
        <w:t>102,41</w:t>
      </w:r>
      <w:r w:rsidR="001543E7" w:rsidRPr="00117156">
        <w:rPr>
          <w:rFonts w:cs="Calibri"/>
          <w:b/>
        </w:rPr>
        <w:t xml:space="preserve"> %) a vyplatených 2</w:t>
      </w:r>
      <w:r w:rsidR="000E44CF">
        <w:rPr>
          <w:rFonts w:cs="Calibri"/>
          <w:b/>
        </w:rPr>
        <w:t>77</w:t>
      </w:r>
      <w:r w:rsidR="00202638">
        <w:rPr>
          <w:rFonts w:cs="Calibri"/>
          <w:b/>
        </w:rPr>
        <w:t>,</w:t>
      </w:r>
      <w:r w:rsidR="000E44CF">
        <w:rPr>
          <w:rFonts w:cs="Calibri"/>
          <w:b/>
        </w:rPr>
        <w:t>81</w:t>
      </w:r>
      <w:r w:rsidR="001543E7" w:rsidRPr="00117156">
        <w:rPr>
          <w:rFonts w:cs="Calibri"/>
          <w:b/>
        </w:rPr>
        <w:t xml:space="preserve"> mil. EUR (</w:t>
      </w:r>
      <w:r w:rsidR="000E44CF">
        <w:rPr>
          <w:rFonts w:cs="Calibri"/>
          <w:b/>
        </w:rPr>
        <w:t>81,82</w:t>
      </w:r>
      <w:r w:rsidR="001543E7" w:rsidRPr="00117156">
        <w:rPr>
          <w:rFonts w:cs="Calibri"/>
          <w:b/>
        </w:rPr>
        <w:t xml:space="preserve"> %)</w:t>
      </w:r>
      <w:r w:rsidR="003035BD">
        <w:rPr>
          <w:rFonts w:cs="Calibri"/>
          <w:b/>
        </w:rPr>
        <w:t>;</w:t>
      </w:r>
    </w:p>
    <w:p w14:paraId="4883840A" w14:textId="234239A9" w:rsidR="002C14E4" w:rsidRPr="00117156" w:rsidRDefault="002C14E4" w:rsidP="004D28EC">
      <w:pPr>
        <w:pStyle w:val="Odsekzoznamu"/>
        <w:numPr>
          <w:ilvl w:val="0"/>
          <w:numId w:val="7"/>
        </w:numPr>
        <w:suppressAutoHyphens w:val="0"/>
        <w:spacing w:before="120" w:line="240" w:lineRule="auto"/>
        <w:ind w:left="426" w:hanging="284"/>
        <w:contextualSpacing w:val="0"/>
        <w:jc w:val="both"/>
        <w:rPr>
          <w:rFonts w:cs="Calibri"/>
          <w:bCs/>
        </w:rPr>
      </w:pPr>
      <w:r w:rsidRPr="00117156">
        <w:rPr>
          <w:rFonts w:cs="Calibri"/>
          <w:b/>
          <w:bCs/>
        </w:rPr>
        <w:t xml:space="preserve">využívanie 15 % flexibility </w:t>
      </w:r>
      <w:r w:rsidR="003A1D4F" w:rsidRPr="00117156">
        <w:rPr>
          <w:rFonts w:cs="Calibri"/>
          <w:bCs/>
        </w:rPr>
        <w:t xml:space="preserve">čerpania finančných prostriedkov na úrovni prioritnej osi </w:t>
      </w:r>
      <w:r w:rsidRPr="00117156">
        <w:rPr>
          <w:rFonts w:cs="Calibri"/>
          <w:bCs/>
        </w:rPr>
        <w:t>v rámci operačného programu</w:t>
      </w:r>
      <w:r w:rsidR="003A1D4F" w:rsidRPr="00117156">
        <w:rPr>
          <w:rFonts w:cs="Calibri"/>
          <w:bCs/>
        </w:rPr>
        <w:t xml:space="preserve">/fondu bez potreby </w:t>
      </w:r>
      <w:proofErr w:type="spellStart"/>
      <w:r w:rsidR="003A1D4F" w:rsidRPr="00117156">
        <w:rPr>
          <w:rFonts w:cs="Calibri"/>
          <w:bCs/>
        </w:rPr>
        <w:t>realokácie</w:t>
      </w:r>
      <w:proofErr w:type="spellEnd"/>
      <w:r w:rsidR="003035BD">
        <w:rPr>
          <w:rFonts w:cs="Calibri"/>
          <w:bCs/>
        </w:rPr>
        <w:t>;</w:t>
      </w:r>
    </w:p>
    <w:p w14:paraId="77BECB7B" w14:textId="106DC975" w:rsidR="002C14E4" w:rsidRPr="00117156" w:rsidRDefault="002C14E4" w:rsidP="004D28EC">
      <w:pPr>
        <w:pStyle w:val="Odsekzoznamu"/>
        <w:numPr>
          <w:ilvl w:val="0"/>
          <w:numId w:val="7"/>
        </w:numPr>
        <w:suppressAutoHyphens w:val="0"/>
        <w:spacing w:before="120" w:line="240" w:lineRule="auto"/>
        <w:ind w:left="426" w:hanging="284"/>
        <w:contextualSpacing w:val="0"/>
        <w:jc w:val="both"/>
        <w:rPr>
          <w:rFonts w:cs="Calibri"/>
          <w:b/>
          <w:bCs/>
        </w:rPr>
      </w:pPr>
      <w:r w:rsidRPr="00117156">
        <w:rPr>
          <w:rFonts w:cs="Calibri"/>
          <w:b/>
          <w:bCs/>
        </w:rPr>
        <w:t xml:space="preserve">analýza a doriešenie prebiehajúcich skúmaní </w:t>
      </w:r>
      <w:r w:rsidRPr="00117156">
        <w:rPr>
          <w:rFonts w:cs="Calibri"/>
          <w:bCs/>
        </w:rPr>
        <w:t>vrátane urgencie vecne príslušných orgánov pre uzavretie konaní a deklarovanie oprávnených výdavkov na EK</w:t>
      </w:r>
      <w:r w:rsidR="005503C8">
        <w:rPr>
          <w:rFonts w:cs="Calibri"/>
          <w:bCs/>
        </w:rPr>
        <w:t xml:space="preserve"> najneskôr do 30.06.2024</w:t>
      </w:r>
      <w:r w:rsidRPr="00117156">
        <w:rPr>
          <w:rFonts w:cs="Calibri"/>
          <w:bCs/>
        </w:rPr>
        <w:t>;</w:t>
      </w:r>
    </w:p>
    <w:p w14:paraId="00E7D5E2" w14:textId="06E0E493" w:rsidR="0027365D" w:rsidRPr="00117156" w:rsidRDefault="0027365D" w:rsidP="004D28EC">
      <w:pPr>
        <w:pStyle w:val="Odsekzoznamu"/>
        <w:numPr>
          <w:ilvl w:val="0"/>
          <w:numId w:val="7"/>
        </w:numPr>
        <w:suppressAutoHyphens w:val="0"/>
        <w:spacing w:before="120" w:line="240" w:lineRule="auto"/>
        <w:ind w:left="426" w:hanging="284"/>
        <w:contextualSpacing w:val="0"/>
        <w:jc w:val="both"/>
        <w:rPr>
          <w:rFonts w:cs="Calibri"/>
          <w:bCs/>
        </w:rPr>
      </w:pPr>
      <w:r w:rsidRPr="00117156">
        <w:rPr>
          <w:rFonts w:cs="Calibri"/>
          <w:b/>
          <w:bCs/>
        </w:rPr>
        <w:lastRenderedPageBreak/>
        <w:t xml:space="preserve">využívanie </w:t>
      </w:r>
      <w:proofErr w:type="spellStart"/>
      <w:r w:rsidRPr="00117156">
        <w:rPr>
          <w:rFonts w:cs="Calibri"/>
          <w:b/>
          <w:bCs/>
        </w:rPr>
        <w:t>fázovania</w:t>
      </w:r>
      <w:proofErr w:type="spellEnd"/>
      <w:r w:rsidRPr="00117156">
        <w:rPr>
          <w:rFonts w:cs="Calibri"/>
          <w:b/>
          <w:bCs/>
        </w:rPr>
        <w:t xml:space="preserve"> – </w:t>
      </w:r>
      <w:r w:rsidRPr="00117156">
        <w:rPr>
          <w:rFonts w:cs="Calibri"/>
          <w:bCs/>
        </w:rPr>
        <w:t xml:space="preserve">možné </w:t>
      </w:r>
      <w:r w:rsidRPr="00117156">
        <w:rPr>
          <w:rFonts w:cs="Calibri"/>
        </w:rPr>
        <w:t>rozdelenie projektov na 2 fázy, z ktorých druhá bude ukončená v programo</w:t>
      </w:r>
      <w:r w:rsidR="007E2476" w:rsidRPr="00117156">
        <w:rPr>
          <w:rFonts w:cs="Calibri"/>
        </w:rPr>
        <w:t>vom období 2021 – 2027</w:t>
      </w:r>
      <w:r w:rsidR="001543E7" w:rsidRPr="00117156">
        <w:rPr>
          <w:rFonts w:cs="Calibri"/>
        </w:rPr>
        <w:t xml:space="preserve"> z Programu Slovensko</w:t>
      </w:r>
      <w:r w:rsidR="00817D21">
        <w:rPr>
          <w:rFonts w:cs="Calibri"/>
        </w:rPr>
        <w:t xml:space="preserve"> 2021</w:t>
      </w:r>
      <w:r w:rsidR="003035BD">
        <w:rPr>
          <w:rFonts w:cs="Calibri"/>
        </w:rPr>
        <w:t xml:space="preserve"> – </w:t>
      </w:r>
      <w:r w:rsidR="00817D21">
        <w:rPr>
          <w:rFonts w:cs="Calibri"/>
        </w:rPr>
        <w:t>2027</w:t>
      </w:r>
      <w:r w:rsidR="001543E7" w:rsidRPr="00117156">
        <w:rPr>
          <w:rFonts w:cs="Calibri"/>
        </w:rPr>
        <w:t xml:space="preserve">. Jednotlivé RO a SO predložili k </w:t>
      </w:r>
      <w:r w:rsidR="00850FE3">
        <w:rPr>
          <w:rFonts w:cs="Calibri"/>
        </w:rPr>
        <w:t>19</w:t>
      </w:r>
      <w:r w:rsidR="001543E7" w:rsidRPr="00117156">
        <w:rPr>
          <w:rFonts w:cs="Calibri"/>
        </w:rPr>
        <w:t>.</w:t>
      </w:r>
      <w:r w:rsidR="00850FE3">
        <w:rPr>
          <w:rFonts w:cs="Calibri"/>
        </w:rPr>
        <w:t>01</w:t>
      </w:r>
      <w:r w:rsidR="001543E7" w:rsidRPr="00117156">
        <w:rPr>
          <w:rFonts w:cs="Calibri"/>
        </w:rPr>
        <w:t>.202</w:t>
      </w:r>
      <w:r w:rsidR="00850FE3">
        <w:rPr>
          <w:rFonts w:cs="Calibri"/>
        </w:rPr>
        <w:t>4</w:t>
      </w:r>
      <w:r w:rsidR="001543E7" w:rsidRPr="00117156">
        <w:rPr>
          <w:rFonts w:cs="Calibri"/>
        </w:rPr>
        <w:t xml:space="preserve"> aktualizáciu zoznamu projektov, ktoré plánujú </w:t>
      </w:r>
      <w:proofErr w:type="spellStart"/>
      <w:r w:rsidR="001543E7" w:rsidRPr="00117156">
        <w:rPr>
          <w:rFonts w:cs="Calibri"/>
        </w:rPr>
        <w:t>fázovať</w:t>
      </w:r>
      <w:proofErr w:type="spellEnd"/>
      <w:r w:rsidR="001543E7" w:rsidRPr="00117156">
        <w:rPr>
          <w:rFonts w:cs="Calibri"/>
        </w:rPr>
        <w:t>, vrátane rozdelenia alokácií na 1. a 2. fázu. M</w:t>
      </w:r>
      <w:r w:rsidR="001543E7" w:rsidRPr="00117156">
        <w:rPr>
          <w:rStyle w:val="Zstupntext"/>
          <w:rFonts w:ascii="Calibri" w:hAnsi="Calibri" w:cs="Calibri"/>
          <w:color w:val="000000"/>
        </w:rPr>
        <w:t xml:space="preserve">ožnosť </w:t>
      </w:r>
      <w:proofErr w:type="spellStart"/>
      <w:r w:rsidR="001543E7" w:rsidRPr="00117156">
        <w:rPr>
          <w:rStyle w:val="Zstupntext"/>
          <w:rFonts w:ascii="Calibri" w:hAnsi="Calibri" w:cs="Calibri"/>
          <w:color w:val="000000"/>
        </w:rPr>
        <w:t>fázovania</w:t>
      </w:r>
      <w:proofErr w:type="spellEnd"/>
      <w:r w:rsidR="001543E7" w:rsidRPr="00117156">
        <w:rPr>
          <w:rStyle w:val="Zstupntext"/>
          <w:rFonts w:ascii="Calibri" w:hAnsi="Calibri" w:cs="Calibri"/>
          <w:color w:val="000000"/>
        </w:rPr>
        <w:t xml:space="preserve"> sa plánuje využiť v</w:t>
      </w:r>
      <w:r w:rsidR="004D28EC">
        <w:rPr>
          <w:rStyle w:val="Zstupntext"/>
          <w:rFonts w:ascii="Calibri" w:hAnsi="Calibri" w:cs="Calibri"/>
          <w:color w:val="000000"/>
        </w:rPr>
        <w:t> </w:t>
      </w:r>
      <w:r w:rsidR="001543E7" w:rsidRPr="00117156">
        <w:rPr>
          <w:rStyle w:val="Zstupntext"/>
          <w:rFonts w:ascii="Calibri" w:hAnsi="Calibri" w:cs="Calibri"/>
          <w:color w:val="000000"/>
        </w:rPr>
        <w:t>rámci</w:t>
      </w:r>
      <w:r w:rsidR="004D28EC">
        <w:rPr>
          <w:rStyle w:val="Zstupntext"/>
          <w:rFonts w:ascii="Calibri" w:hAnsi="Calibri" w:cs="Calibri"/>
          <w:color w:val="000000"/>
        </w:rPr>
        <w:t xml:space="preserve"> </w:t>
      </w:r>
      <w:r w:rsidR="001543E7" w:rsidRPr="00117156">
        <w:rPr>
          <w:rStyle w:val="Zstupntext"/>
          <w:rFonts w:ascii="Calibri" w:hAnsi="Calibri" w:cs="Calibri"/>
          <w:bCs/>
          <w:color w:val="000000"/>
        </w:rPr>
        <w:t>40 projektov, v </w:t>
      </w:r>
      <w:proofErr w:type="spellStart"/>
      <w:r w:rsidR="001543E7" w:rsidRPr="00117156">
        <w:rPr>
          <w:rStyle w:val="Zstupntext"/>
          <w:rFonts w:ascii="Calibri" w:hAnsi="Calibri" w:cs="Calibri"/>
          <w:bCs/>
          <w:color w:val="000000"/>
        </w:rPr>
        <w:t>zazmluvnenej</w:t>
      </w:r>
      <w:proofErr w:type="spellEnd"/>
      <w:r w:rsidR="001543E7" w:rsidRPr="00117156">
        <w:rPr>
          <w:rStyle w:val="Zstupntext"/>
          <w:rFonts w:ascii="Calibri" w:hAnsi="Calibri" w:cs="Calibri"/>
          <w:bCs/>
          <w:color w:val="000000"/>
        </w:rPr>
        <w:t xml:space="preserve"> výške </w:t>
      </w:r>
      <w:r w:rsidR="00850FE3">
        <w:rPr>
          <w:rStyle w:val="Zstupntext"/>
          <w:rFonts w:ascii="Calibri" w:hAnsi="Calibri" w:cs="Calibri"/>
          <w:bCs/>
          <w:color w:val="000000"/>
        </w:rPr>
        <w:t>1</w:t>
      </w:r>
      <w:r w:rsidR="001543E7" w:rsidRPr="00117156">
        <w:rPr>
          <w:rStyle w:val="Zstupntext"/>
          <w:rFonts w:ascii="Calibri" w:hAnsi="Calibri" w:cs="Calibri"/>
          <w:bCs/>
          <w:color w:val="000000"/>
        </w:rPr>
        <w:t xml:space="preserve"> ml</w:t>
      </w:r>
      <w:r w:rsidR="00850FE3">
        <w:rPr>
          <w:rStyle w:val="Zstupntext"/>
          <w:rFonts w:ascii="Calibri" w:hAnsi="Calibri" w:cs="Calibri"/>
          <w:bCs/>
          <w:color w:val="000000"/>
        </w:rPr>
        <w:t>d</w:t>
      </w:r>
      <w:r w:rsidR="001543E7" w:rsidRPr="00117156">
        <w:rPr>
          <w:rStyle w:val="Zstupntext"/>
          <w:rFonts w:ascii="Calibri" w:hAnsi="Calibri" w:cs="Calibri"/>
          <w:bCs/>
          <w:color w:val="000000"/>
        </w:rPr>
        <w:t xml:space="preserve">. EUR (EÚ zdroj), pričom </w:t>
      </w:r>
      <w:r w:rsidR="00B82535" w:rsidRPr="00B82535">
        <w:rPr>
          <w:rStyle w:val="Zstupntext"/>
          <w:rFonts w:ascii="Calibri" w:hAnsi="Calibri" w:cs="Calibri"/>
          <w:b/>
          <w:bCs/>
          <w:color w:val="000000"/>
        </w:rPr>
        <w:t>do 2. fázy sa plánuje presunúť</w:t>
      </w:r>
      <w:r w:rsidR="00B82535">
        <w:rPr>
          <w:rStyle w:val="Zstupntext"/>
          <w:rFonts w:ascii="Calibri" w:hAnsi="Calibri" w:cs="Calibri"/>
          <w:bCs/>
          <w:color w:val="000000"/>
        </w:rPr>
        <w:t xml:space="preserve"> </w:t>
      </w:r>
      <w:r w:rsidR="00E2656B">
        <w:rPr>
          <w:rFonts w:cs="Calibri"/>
          <w:b/>
        </w:rPr>
        <w:t>560</w:t>
      </w:r>
      <w:r w:rsidR="001543E7" w:rsidRPr="00117156">
        <w:rPr>
          <w:rFonts w:cs="Calibri"/>
          <w:b/>
        </w:rPr>
        <w:t xml:space="preserve"> mil. EUR</w:t>
      </w:r>
      <w:r w:rsidR="00460D2F" w:rsidRPr="00117156">
        <w:rPr>
          <w:rFonts w:cs="Calibri"/>
        </w:rPr>
        <w:t>;</w:t>
      </w:r>
    </w:p>
    <w:p w14:paraId="753EE702" w14:textId="6C85D6FD" w:rsidR="003A1D4F" w:rsidRPr="00117156" w:rsidRDefault="003A1D4F" w:rsidP="004D28EC">
      <w:pPr>
        <w:pStyle w:val="Odsekzoznamu"/>
        <w:numPr>
          <w:ilvl w:val="0"/>
          <w:numId w:val="7"/>
        </w:numPr>
        <w:suppressAutoHyphens w:val="0"/>
        <w:spacing w:before="120" w:line="240" w:lineRule="auto"/>
        <w:ind w:left="426" w:hanging="284"/>
        <w:contextualSpacing w:val="0"/>
        <w:jc w:val="both"/>
        <w:rPr>
          <w:rFonts w:cs="Calibri"/>
          <w:b/>
          <w:bCs/>
        </w:rPr>
      </w:pPr>
      <w:r w:rsidRPr="00117156">
        <w:rPr>
          <w:rFonts w:cs="Calibri"/>
          <w:b/>
          <w:bCs/>
        </w:rPr>
        <w:t>sfunkčnenie projektov, ktoré neb</w:t>
      </w:r>
      <w:r w:rsidR="005503C8">
        <w:rPr>
          <w:rFonts w:cs="Calibri"/>
          <w:b/>
          <w:bCs/>
        </w:rPr>
        <w:t>oli</w:t>
      </w:r>
      <w:r w:rsidRPr="00117156">
        <w:rPr>
          <w:rFonts w:cs="Calibri"/>
          <w:b/>
          <w:bCs/>
        </w:rPr>
        <w:t xml:space="preserve"> do 31.</w:t>
      </w:r>
      <w:r w:rsidR="00763439" w:rsidRPr="00117156">
        <w:rPr>
          <w:rFonts w:cs="Calibri"/>
          <w:b/>
          <w:bCs/>
        </w:rPr>
        <w:t>12.</w:t>
      </w:r>
      <w:r w:rsidRPr="00117156">
        <w:rPr>
          <w:rFonts w:cs="Calibri"/>
          <w:b/>
          <w:bCs/>
        </w:rPr>
        <w:t>2023 finančne ukončené</w:t>
      </w:r>
      <w:r w:rsidR="00E70F1C" w:rsidRPr="00117156">
        <w:rPr>
          <w:rFonts w:cs="Calibri"/>
          <w:b/>
          <w:bCs/>
        </w:rPr>
        <w:t>, najneskôr</w:t>
      </w:r>
      <w:r w:rsidR="005503C8">
        <w:rPr>
          <w:rFonts w:cs="Calibri"/>
          <w:b/>
          <w:bCs/>
        </w:rPr>
        <w:t xml:space="preserve"> </w:t>
      </w:r>
      <w:r w:rsidR="00E70F1C" w:rsidRPr="00117156">
        <w:rPr>
          <w:rFonts w:cs="Calibri"/>
          <w:b/>
          <w:bCs/>
        </w:rPr>
        <w:t>do</w:t>
      </w:r>
      <w:r w:rsidR="004D28EC">
        <w:rPr>
          <w:rFonts w:cs="Calibri"/>
          <w:b/>
          <w:bCs/>
        </w:rPr>
        <w:t> </w:t>
      </w:r>
      <w:r w:rsidR="00E70F1C" w:rsidRPr="00117156">
        <w:rPr>
          <w:rFonts w:cs="Calibri"/>
          <w:b/>
          <w:bCs/>
        </w:rPr>
        <w:t>15.</w:t>
      </w:r>
      <w:r w:rsidR="004D28EC">
        <w:rPr>
          <w:rFonts w:cs="Calibri"/>
          <w:b/>
          <w:bCs/>
        </w:rPr>
        <w:t> </w:t>
      </w:r>
      <w:r w:rsidR="00E70F1C" w:rsidRPr="00117156">
        <w:rPr>
          <w:rFonts w:cs="Calibri"/>
          <w:b/>
          <w:bCs/>
        </w:rPr>
        <w:t>februára 2027</w:t>
      </w:r>
      <w:r w:rsidRPr="00117156">
        <w:rPr>
          <w:rFonts w:cs="Calibri"/>
          <w:b/>
          <w:bCs/>
        </w:rPr>
        <w:t xml:space="preserve"> </w:t>
      </w:r>
      <w:r w:rsidRPr="00117156">
        <w:rPr>
          <w:rFonts w:cs="Calibri"/>
          <w:bCs/>
        </w:rPr>
        <w:t>(</w:t>
      </w:r>
      <w:r w:rsidR="00C416B7" w:rsidRPr="00117156">
        <w:rPr>
          <w:rFonts w:cs="Calibri"/>
          <w:bCs/>
        </w:rPr>
        <w:t xml:space="preserve">možné </w:t>
      </w:r>
      <w:r w:rsidRPr="00117156">
        <w:rPr>
          <w:rFonts w:cs="Calibri"/>
          <w:bCs/>
        </w:rPr>
        <w:t xml:space="preserve">dofinancovanie </w:t>
      </w:r>
      <w:r w:rsidR="00C416B7" w:rsidRPr="00117156">
        <w:rPr>
          <w:rFonts w:cs="Calibri"/>
          <w:bCs/>
        </w:rPr>
        <w:t xml:space="preserve">projektov </w:t>
      </w:r>
      <w:r w:rsidRPr="00117156">
        <w:rPr>
          <w:rFonts w:cs="Calibri"/>
          <w:bCs/>
        </w:rPr>
        <w:t>z vlastných zdrojov prijímateľa)</w:t>
      </w:r>
      <w:r w:rsidR="006874FD" w:rsidRPr="00117156">
        <w:rPr>
          <w:rFonts w:cs="Calibri"/>
          <w:bCs/>
        </w:rPr>
        <w:t>.</w:t>
      </w:r>
      <w:r w:rsidR="001B4C6D" w:rsidRPr="00117156">
        <w:rPr>
          <w:rFonts w:cs="Calibri"/>
        </w:rPr>
        <w:t xml:space="preserve"> </w:t>
      </w:r>
      <w:r w:rsidR="001543E7" w:rsidRPr="00117156">
        <w:rPr>
          <w:rFonts w:cs="Calibri"/>
        </w:rPr>
        <w:t xml:space="preserve">Jednotlivé RO a SO predložili k </w:t>
      </w:r>
      <w:r w:rsidR="00850FE3">
        <w:rPr>
          <w:rFonts w:cs="Calibri"/>
        </w:rPr>
        <w:t>19</w:t>
      </w:r>
      <w:r w:rsidR="001543E7" w:rsidRPr="00117156">
        <w:rPr>
          <w:rFonts w:cs="Calibri"/>
        </w:rPr>
        <w:t>.</w:t>
      </w:r>
      <w:r w:rsidR="00850FE3">
        <w:rPr>
          <w:rFonts w:cs="Calibri"/>
        </w:rPr>
        <w:t>01</w:t>
      </w:r>
      <w:r w:rsidR="001543E7" w:rsidRPr="00117156">
        <w:rPr>
          <w:rFonts w:cs="Calibri"/>
        </w:rPr>
        <w:t>.202</w:t>
      </w:r>
      <w:r w:rsidR="00850FE3">
        <w:rPr>
          <w:rFonts w:cs="Calibri"/>
        </w:rPr>
        <w:t>4</w:t>
      </w:r>
      <w:r w:rsidR="001543E7" w:rsidRPr="00117156">
        <w:rPr>
          <w:rFonts w:cs="Calibri"/>
        </w:rPr>
        <w:t xml:space="preserve"> aktualizovaný indikatívny zoznam tzv. nefunkčných projektov. Spolu je indikovaných 1</w:t>
      </w:r>
      <w:r w:rsidR="00850FE3">
        <w:rPr>
          <w:rFonts w:cs="Calibri"/>
        </w:rPr>
        <w:t>99</w:t>
      </w:r>
      <w:r w:rsidR="001543E7" w:rsidRPr="00117156">
        <w:rPr>
          <w:rFonts w:cs="Calibri"/>
        </w:rPr>
        <w:t xml:space="preserve"> projektov, v </w:t>
      </w:r>
      <w:proofErr w:type="spellStart"/>
      <w:r w:rsidR="001543E7" w:rsidRPr="00117156">
        <w:rPr>
          <w:rFonts w:cs="Calibri"/>
        </w:rPr>
        <w:t>zazmluvnenej</w:t>
      </w:r>
      <w:proofErr w:type="spellEnd"/>
      <w:r w:rsidR="001543E7" w:rsidRPr="00117156">
        <w:rPr>
          <w:rFonts w:cs="Calibri"/>
        </w:rPr>
        <w:t xml:space="preserve"> výške </w:t>
      </w:r>
      <w:r w:rsidR="00850FE3">
        <w:rPr>
          <w:rFonts w:cs="Calibri"/>
        </w:rPr>
        <w:t>828</w:t>
      </w:r>
      <w:r w:rsidR="00850FE3" w:rsidRPr="00117156">
        <w:rPr>
          <w:rFonts w:cs="Calibri"/>
        </w:rPr>
        <w:t xml:space="preserve"> </w:t>
      </w:r>
      <w:r w:rsidR="001543E7" w:rsidRPr="00117156">
        <w:rPr>
          <w:rFonts w:cs="Calibri"/>
        </w:rPr>
        <w:t xml:space="preserve">mil. EUR (EÚ zdroje), s odhadovaným nedočerpaním </w:t>
      </w:r>
      <w:r w:rsidR="00850FE3">
        <w:rPr>
          <w:rFonts w:cs="Calibri"/>
        </w:rPr>
        <w:t>239</w:t>
      </w:r>
      <w:r w:rsidR="001543E7" w:rsidRPr="00117156">
        <w:rPr>
          <w:rFonts w:cs="Calibri"/>
        </w:rPr>
        <w:t xml:space="preserve"> mil. EUR. Pre ich sfunkčnenie bude potrebných </w:t>
      </w:r>
      <w:r w:rsidR="00850FE3">
        <w:rPr>
          <w:rFonts w:cs="Calibri"/>
        </w:rPr>
        <w:t>226</w:t>
      </w:r>
      <w:r w:rsidR="001543E7" w:rsidRPr="00117156">
        <w:rPr>
          <w:rFonts w:cs="Calibri"/>
        </w:rPr>
        <w:t xml:space="preserve"> mil. EUR z vlastných zdrojov prijímateľov</w:t>
      </w:r>
      <w:r w:rsidR="00460D2F" w:rsidRPr="00117156">
        <w:rPr>
          <w:rFonts w:cs="Calibri"/>
        </w:rPr>
        <w:t>;</w:t>
      </w:r>
    </w:p>
    <w:p w14:paraId="136013BC" w14:textId="77777777" w:rsidR="00517006" w:rsidRPr="00517006" w:rsidRDefault="001E751E" w:rsidP="004D28EC">
      <w:pPr>
        <w:pStyle w:val="Odsekzoznamu"/>
        <w:numPr>
          <w:ilvl w:val="0"/>
          <w:numId w:val="7"/>
        </w:numPr>
        <w:suppressAutoHyphens w:val="0"/>
        <w:spacing w:before="120" w:line="240" w:lineRule="auto"/>
        <w:ind w:left="426" w:hanging="284"/>
        <w:contextualSpacing w:val="0"/>
        <w:jc w:val="both"/>
        <w:rPr>
          <w:rFonts w:cs="Calibri"/>
          <w:b/>
          <w:bCs/>
        </w:rPr>
      </w:pPr>
      <w:r w:rsidRPr="00117156">
        <w:rPr>
          <w:rFonts w:cs="Calibri"/>
          <w:b/>
          <w:bCs/>
        </w:rPr>
        <w:t xml:space="preserve">využitie dočasného </w:t>
      </w:r>
      <w:proofErr w:type="spellStart"/>
      <w:r w:rsidRPr="00117156">
        <w:rPr>
          <w:rFonts w:cs="Calibri"/>
          <w:b/>
          <w:bCs/>
        </w:rPr>
        <w:t>nadkontrahovania</w:t>
      </w:r>
      <w:proofErr w:type="spellEnd"/>
      <w:r w:rsidRPr="00117156">
        <w:rPr>
          <w:rFonts w:cs="Calibri"/>
          <w:b/>
          <w:bCs/>
        </w:rPr>
        <w:t xml:space="preserve"> a </w:t>
      </w:r>
      <w:proofErr w:type="spellStart"/>
      <w:r w:rsidRPr="00117156">
        <w:rPr>
          <w:rFonts w:cs="Calibri"/>
          <w:b/>
          <w:bCs/>
        </w:rPr>
        <w:t>nadčerpania</w:t>
      </w:r>
      <w:proofErr w:type="spellEnd"/>
      <w:r w:rsidRPr="00117156">
        <w:rPr>
          <w:rFonts w:cs="Calibri"/>
          <w:b/>
          <w:bCs/>
        </w:rPr>
        <w:t xml:space="preserve"> </w:t>
      </w:r>
      <w:r w:rsidRPr="00117156">
        <w:rPr>
          <w:rFonts w:cs="Calibri"/>
          <w:bCs/>
        </w:rPr>
        <w:t xml:space="preserve">v sume 496 mil. </w:t>
      </w:r>
      <w:r w:rsidR="001B4C6D" w:rsidRPr="00117156">
        <w:rPr>
          <w:rFonts w:cs="Calibri"/>
          <w:bCs/>
        </w:rPr>
        <w:t>EUR</w:t>
      </w:r>
      <w:r w:rsidRPr="00117156">
        <w:rPr>
          <w:rFonts w:cs="Calibri"/>
          <w:bCs/>
        </w:rPr>
        <w:t xml:space="preserve"> s cieľom vyčerpať 100</w:t>
      </w:r>
      <w:r w:rsidR="004D28EC">
        <w:rPr>
          <w:rFonts w:cs="Calibri"/>
          <w:bCs/>
        </w:rPr>
        <w:t> </w:t>
      </w:r>
      <w:r w:rsidRPr="00117156">
        <w:rPr>
          <w:rFonts w:cs="Calibri"/>
          <w:bCs/>
        </w:rPr>
        <w:t>% alokácie záväzkov EK.</w:t>
      </w:r>
      <w:r w:rsidR="00915F67">
        <w:rPr>
          <w:rFonts w:cs="Calibri"/>
          <w:bCs/>
        </w:rPr>
        <w:t xml:space="preserve"> M</w:t>
      </w:r>
      <w:r w:rsidR="00915F67" w:rsidRPr="000F7D12">
        <w:rPr>
          <w:rFonts w:cs="Calibri"/>
          <w:bCs/>
        </w:rPr>
        <w:t>ožnos</w:t>
      </w:r>
      <w:r w:rsidR="00915F67">
        <w:rPr>
          <w:rFonts w:cs="Calibri"/>
          <w:bCs/>
        </w:rPr>
        <w:t>ť</w:t>
      </w:r>
      <w:r w:rsidR="00915F67" w:rsidRPr="000F7D12">
        <w:rPr>
          <w:rFonts w:cs="Calibri"/>
          <w:bCs/>
        </w:rPr>
        <w:t xml:space="preserve"> </w:t>
      </w:r>
      <w:r w:rsidR="00915F67">
        <w:rPr>
          <w:rFonts w:cs="Calibri"/>
          <w:bCs/>
        </w:rPr>
        <w:t xml:space="preserve">a podmienky </w:t>
      </w:r>
      <w:r w:rsidR="00915F67" w:rsidRPr="000F7D12">
        <w:rPr>
          <w:rFonts w:cs="Calibri"/>
          <w:bCs/>
        </w:rPr>
        <w:t>využitia mechanizmu dočasného</w:t>
      </w:r>
      <w:r w:rsidR="00915F67">
        <w:rPr>
          <w:rFonts w:cs="Calibri"/>
          <w:bCs/>
        </w:rPr>
        <w:t xml:space="preserve"> </w:t>
      </w:r>
      <w:proofErr w:type="spellStart"/>
      <w:r w:rsidR="00915F67" w:rsidRPr="000F7D12">
        <w:rPr>
          <w:rFonts w:cs="Calibri"/>
          <w:bCs/>
        </w:rPr>
        <w:t>nadkontrahovania</w:t>
      </w:r>
      <w:proofErr w:type="spellEnd"/>
      <w:r w:rsidR="00915F67" w:rsidRPr="000F7D12">
        <w:rPr>
          <w:rFonts w:cs="Calibri"/>
          <w:bCs/>
        </w:rPr>
        <w:t xml:space="preserve"> a </w:t>
      </w:r>
      <w:proofErr w:type="spellStart"/>
      <w:r w:rsidR="00915F67" w:rsidRPr="000F7D12">
        <w:rPr>
          <w:rFonts w:cs="Calibri"/>
          <w:bCs/>
        </w:rPr>
        <w:t>nadčerpania</w:t>
      </w:r>
      <w:proofErr w:type="spellEnd"/>
      <w:r w:rsidR="00915F67" w:rsidRPr="000F7D12">
        <w:rPr>
          <w:rFonts w:cs="Calibri"/>
          <w:bCs/>
        </w:rPr>
        <w:t xml:space="preserve"> nie je možné interpretačne vykladať</w:t>
      </w:r>
      <w:r w:rsidR="00915F67">
        <w:rPr>
          <w:rFonts w:cs="Calibri"/>
          <w:bCs/>
        </w:rPr>
        <w:t xml:space="preserve"> </w:t>
      </w:r>
      <w:r w:rsidR="00915F67" w:rsidRPr="000F7D12">
        <w:rPr>
          <w:rFonts w:cs="Calibri"/>
          <w:bCs/>
        </w:rPr>
        <w:t>/</w:t>
      </w:r>
      <w:r w:rsidR="00915F67">
        <w:rPr>
          <w:rFonts w:cs="Calibri"/>
          <w:bCs/>
        </w:rPr>
        <w:t xml:space="preserve"> </w:t>
      </w:r>
      <w:r w:rsidR="00915F67" w:rsidRPr="000F7D12">
        <w:rPr>
          <w:rFonts w:cs="Calibri"/>
          <w:bCs/>
        </w:rPr>
        <w:t xml:space="preserve">zamieňať za trvalé </w:t>
      </w:r>
      <w:proofErr w:type="spellStart"/>
      <w:r w:rsidR="00915F67" w:rsidRPr="000F7D12">
        <w:rPr>
          <w:rFonts w:cs="Calibri"/>
          <w:bCs/>
        </w:rPr>
        <w:t>nadkontrahovanie</w:t>
      </w:r>
      <w:proofErr w:type="spellEnd"/>
      <w:r w:rsidR="00915F67" w:rsidRPr="000F7D12">
        <w:rPr>
          <w:rFonts w:cs="Calibri"/>
          <w:bCs/>
        </w:rPr>
        <w:t xml:space="preserve"> alebo </w:t>
      </w:r>
      <w:proofErr w:type="spellStart"/>
      <w:r w:rsidR="00915F67" w:rsidRPr="000F7D12">
        <w:rPr>
          <w:rFonts w:cs="Calibri"/>
          <w:bCs/>
        </w:rPr>
        <w:t>nadčerpanie</w:t>
      </w:r>
      <w:proofErr w:type="spellEnd"/>
      <w:r w:rsidR="00915F67">
        <w:rPr>
          <w:rFonts w:cs="Calibri"/>
          <w:bCs/>
        </w:rPr>
        <w:t xml:space="preserve"> nad 100 % alokácie operačného programu. V prípade trvalého </w:t>
      </w:r>
      <w:proofErr w:type="spellStart"/>
      <w:r w:rsidR="00915F67">
        <w:rPr>
          <w:rFonts w:cs="Calibri"/>
          <w:bCs/>
        </w:rPr>
        <w:t>nadkontrahovania</w:t>
      </w:r>
      <w:proofErr w:type="spellEnd"/>
      <w:r w:rsidR="00915F67">
        <w:rPr>
          <w:rFonts w:cs="Calibri"/>
          <w:bCs/>
        </w:rPr>
        <w:t xml:space="preserve"> a </w:t>
      </w:r>
      <w:proofErr w:type="spellStart"/>
      <w:r w:rsidR="00915F67">
        <w:rPr>
          <w:rFonts w:cs="Calibri"/>
          <w:bCs/>
        </w:rPr>
        <w:t>nadčerpania</w:t>
      </w:r>
      <w:proofErr w:type="spellEnd"/>
      <w:r w:rsidR="00915F67">
        <w:rPr>
          <w:rFonts w:cs="Calibri"/>
          <w:bCs/>
        </w:rPr>
        <w:t xml:space="preserve"> je potrebné eliminovať negatívne </w:t>
      </w:r>
      <w:r w:rsidR="005503C8">
        <w:rPr>
          <w:rFonts w:cs="Calibri"/>
          <w:bCs/>
        </w:rPr>
        <w:t>vplyvy</w:t>
      </w:r>
      <w:r w:rsidR="00915F67">
        <w:rPr>
          <w:rFonts w:cs="Calibri"/>
          <w:bCs/>
        </w:rPr>
        <w:t xml:space="preserve"> na rozpočet verejnej správy úsporami, využitím flexibilít a </w:t>
      </w:r>
      <w:proofErr w:type="spellStart"/>
      <w:r w:rsidR="00915F67">
        <w:rPr>
          <w:rFonts w:cs="Calibri"/>
          <w:bCs/>
        </w:rPr>
        <w:t>fázovaním</w:t>
      </w:r>
      <w:proofErr w:type="spellEnd"/>
      <w:r w:rsidR="00915F67">
        <w:rPr>
          <w:rFonts w:cs="Calibri"/>
          <w:bCs/>
        </w:rPr>
        <w:t xml:space="preserve"> projektov do programového obdobia 2021 – 2027</w:t>
      </w:r>
      <w:r w:rsidR="005503C8">
        <w:rPr>
          <w:rFonts w:cs="Calibri"/>
          <w:bCs/>
        </w:rPr>
        <w:t xml:space="preserve">. </w:t>
      </w:r>
    </w:p>
    <w:p w14:paraId="2DBC9CA8" w14:textId="61B90E22" w:rsidR="001E751E" w:rsidRPr="0030344C" w:rsidRDefault="005503C8" w:rsidP="00517006">
      <w:pPr>
        <w:pStyle w:val="Odsekzoznamu"/>
        <w:suppressAutoHyphens w:val="0"/>
        <w:spacing w:before="120" w:line="240" w:lineRule="auto"/>
        <w:ind w:left="426"/>
        <w:contextualSpacing w:val="0"/>
        <w:jc w:val="both"/>
        <w:rPr>
          <w:rFonts w:cs="Calibri"/>
          <w:b/>
          <w:bCs/>
        </w:rPr>
      </w:pPr>
      <w:r>
        <w:rPr>
          <w:rFonts w:cs="Calibri"/>
          <w:bCs/>
        </w:rPr>
        <w:t xml:space="preserve">Inštitút dočasného </w:t>
      </w:r>
      <w:proofErr w:type="spellStart"/>
      <w:r>
        <w:rPr>
          <w:rFonts w:cs="Calibri"/>
          <w:bCs/>
        </w:rPr>
        <w:t>nadčerpania</w:t>
      </w:r>
      <w:proofErr w:type="spellEnd"/>
      <w:r>
        <w:rPr>
          <w:rFonts w:cs="Calibri"/>
          <w:bCs/>
        </w:rPr>
        <w:t xml:space="preserve"> využil IROP v sume 41,5 mil. EUR. Aktuálne prebieha komunikácia s SO pre OP II (MIRRI SR) k identifikovaniu prípadnej potreby dočasného </w:t>
      </w:r>
      <w:proofErr w:type="spellStart"/>
      <w:r>
        <w:rPr>
          <w:rFonts w:cs="Calibri"/>
          <w:bCs/>
        </w:rPr>
        <w:t>nadčerpania</w:t>
      </w:r>
      <w:proofErr w:type="spellEnd"/>
      <w:r w:rsidR="00215832">
        <w:rPr>
          <w:rFonts w:cs="Calibri"/>
          <w:bCs/>
        </w:rPr>
        <w:t>;</w:t>
      </w:r>
    </w:p>
    <w:p w14:paraId="60112EB7" w14:textId="658C9979" w:rsidR="005503C8" w:rsidRPr="005503C8" w:rsidRDefault="00215832" w:rsidP="005503C8">
      <w:pPr>
        <w:pStyle w:val="Odsekzoznamu"/>
        <w:numPr>
          <w:ilvl w:val="0"/>
          <w:numId w:val="7"/>
        </w:numPr>
        <w:suppressAutoHyphens w:val="0"/>
        <w:spacing w:before="120" w:line="240" w:lineRule="auto"/>
        <w:ind w:left="426" w:hanging="284"/>
        <w:contextualSpacing w:val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 využitie flexibilít v návrhu nariadenia STEP</w:t>
      </w:r>
      <w:r w:rsidR="005503C8">
        <w:rPr>
          <w:rFonts w:cs="Calibri"/>
          <w:b/>
          <w:bCs/>
        </w:rPr>
        <w:t xml:space="preserve"> </w:t>
      </w:r>
      <w:r w:rsidR="005503C8" w:rsidRPr="00F54D33">
        <w:rPr>
          <w:rFonts w:cs="Calibri"/>
          <w:bCs/>
        </w:rPr>
        <w:t xml:space="preserve">(schválený Radou EÚ </w:t>
      </w:r>
      <w:r w:rsidR="00703C67">
        <w:rPr>
          <w:rFonts w:cs="Calibri"/>
          <w:bCs/>
        </w:rPr>
        <w:t>0</w:t>
      </w:r>
      <w:r w:rsidR="005503C8" w:rsidRPr="00F54D33">
        <w:rPr>
          <w:rFonts w:cs="Calibri"/>
          <w:bCs/>
        </w:rPr>
        <w:t>2.</w:t>
      </w:r>
      <w:r w:rsidR="00703C67">
        <w:rPr>
          <w:rFonts w:cs="Calibri"/>
          <w:bCs/>
        </w:rPr>
        <w:t>0</w:t>
      </w:r>
      <w:r w:rsidR="005503C8" w:rsidRPr="00F54D33">
        <w:rPr>
          <w:rFonts w:cs="Calibri"/>
          <w:bCs/>
        </w:rPr>
        <w:t>2.2024)</w:t>
      </w:r>
      <w:r w:rsidR="005503C8">
        <w:rPr>
          <w:rFonts w:cs="Calibri"/>
          <w:bCs/>
        </w:rPr>
        <w:t xml:space="preserve">, </w:t>
      </w:r>
      <w:r w:rsidRPr="0030344C">
        <w:rPr>
          <w:rFonts w:cs="Calibri"/>
          <w:bCs/>
        </w:rPr>
        <w:t>najmä</w:t>
      </w:r>
      <w:r w:rsidR="005503C8">
        <w:rPr>
          <w:rFonts w:cs="Calibri"/>
          <w:bCs/>
        </w:rPr>
        <w:t>:</w:t>
      </w:r>
    </w:p>
    <w:p w14:paraId="0805A99F" w14:textId="77777777" w:rsidR="005503C8" w:rsidRPr="00BB0D85" w:rsidRDefault="005503C8" w:rsidP="005503C8">
      <w:pPr>
        <w:pStyle w:val="Odsekzoznamu"/>
        <w:numPr>
          <w:ilvl w:val="1"/>
          <w:numId w:val="7"/>
        </w:numPr>
        <w:suppressAutoHyphens w:val="0"/>
        <w:spacing w:before="120" w:line="240" w:lineRule="auto"/>
        <w:ind w:left="850" w:hanging="357"/>
        <w:contextualSpacing w:val="0"/>
        <w:jc w:val="both"/>
        <w:rPr>
          <w:rFonts w:cs="Calibri"/>
          <w:b/>
          <w:bCs/>
        </w:rPr>
      </w:pPr>
      <w:r>
        <w:rPr>
          <w:b/>
        </w:rPr>
        <w:t>posun</w:t>
      </w:r>
      <w:r w:rsidRPr="00BB0D85">
        <w:rPr>
          <w:b/>
        </w:rPr>
        <w:t xml:space="preserve"> predloženia</w:t>
      </w:r>
      <w:r w:rsidRPr="00BB0D85">
        <w:rPr>
          <w:rFonts w:cs="Calibri"/>
          <w:b/>
          <w:bCs/>
        </w:rPr>
        <w:t xml:space="preserve"> záverečnej dokumentácie na EK</w:t>
      </w:r>
      <w:r>
        <w:rPr>
          <w:rFonts w:cs="Calibri"/>
          <w:bCs/>
        </w:rPr>
        <w:t>, a teda vytvorenie dodatočného časového  priestoru na spracovanie platieb prijímateľov a </w:t>
      </w:r>
      <w:r w:rsidRPr="00BB0D85">
        <w:rPr>
          <w:rFonts w:cs="Calibri"/>
          <w:b/>
          <w:bCs/>
        </w:rPr>
        <w:t>súhrnných žiadostí o platbu</w:t>
      </w:r>
      <w:r>
        <w:rPr>
          <w:rFonts w:cs="Calibri"/>
          <w:bCs/>
        </w:rPr>
        <w:t>, ktoré môžu byť</w:t>
      </w:r>
      <w:r w:rsidRPr="00BB0D85">
        <w:t xml:space="preserve"> </w:t>
      </w:r>
      <w:r>
        <w:t xml:space="preserve">predložené na MF SR v dohodnutých </w:t>
      </w:r>
      <w:r w:rsidRPr="006571D8">
        <w:rPr>
          <w:b/>
        </w:rPr>
        <w:t>posun</w:t>
      </w:r>
      <w:r>
        <w:rPr>
          <w:b/>
        </w:rPr>
        <w:t>utých</w:t>
      </w:r>
      <w:r w:rsidRPr="006571D8">
        <w:rPr>
          <w:b/>
        </w:rPr>
        <w:t xml:space="preserve"> </w:t>
      </w:r>
      <w:r>
        <w:rPr>
          <w:b/>
        </w:rPr>
        <w:t>termínoch v rozsahu 1 až 2 mesiace</w:t>
      </w:r>
      <w:r w:rsidRPr="006571D8">
        <w:rPr>
          <w:b/>
        </w:rPr>
        <w:t xml:space="preserve"> nasledovne</w:t>
      </w:r>
      <w:r>
        <w:rPr>
          <w:b/>
        </w:rPr>
        <w:t>:</w:t>
      </w:r>
    </w:p>
    <w:p w14:paraId="5C48FCB8" w14:textId="77777777" w:rsidR="005503C8" w:rsidRPr="00BB0D85" w:rsidRDefault="005503C8" w:rsidP="005503C8">
      <w:pPr>
        <w:pStyle w:val="Odsekzoznamu"/>
        <w:suppressAutoHyphens w:val="0"/>
        <w:spacing w:before="120" w:line="240" w:lineRule="auto"/>
        <w:ind w:left="850"/>
        <w:contextualSpacing w:val="0"/>
        <w:jc w:val="both"/>
        <w:rPr>
          <w:rFonts w:cs="Calibri"/>
          <w:b/>
          <w:bCs/>
        </w:rPr>
      </w:pPr>
      <w:r w:rsidRPr="00BB0D85">
        <w:rPr>
          <w:rFonts w:cs="Calibri"/>
          <w:b/>
          <w:bCs/>
        </w:rPr>
        <w:t>Tabuľka č. 1: Prehľad termínov predkladania súhrnných žiadostí o platbu</w:t>
      </w:r>
    </w:p>
    <w:tbl>
      <w:tblPr>
        <w:tblStyle w:val="Mriekatabuky"/>
        <w:tblW w:w="8212" w:type="dxa"/>
        <w:tblInd w:w="846" w:type="dxa"/>
        <w:tblLook w:val="04A0" w:firstRow="1" w:lastRow="0" w:firstColumn="1" w:lastColumn="0" w:noHBand="0" w:noVBand="1"/>
      </w:tblPr>
      <w:tblGrid>
        <w:gridCol w:w="2410"/>
        <w:gridCol w:w="1985"/>
        <w:gridCol w:w="1842"/>
        <w:gridCol w:w="1975"/>
      </w:tblGrid>
      <w:tr w:rsidR="005503C8" w:rsidRPr="006D4441" w14:paraId="0EF95ECA" w14:textId="77777777" w:rsidTr="005503C8">
        <w:tc>
          <w:tcPr>
            <w:tcW w:w="2410" w:type="dxa"/>
            <w:vAlign w:val="center"/>
          </w:tcPr>
          <w:p w14:paraId="77141561" w14:textId="77777777" w:rsidR="005503C8" w:rsidRPr="006D4441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Operačný program</w:t>
            </w:r>
          </w:p>
        </w:tc>
        <w:tc>
          <w:tcPr>
            <w:tcW w:w="1985" w:type="dxa"/>
            <w:vAlign w:val="center"/>
          </w:tcPr>
          <w:p w14:paraId="588511B7" w14:textId="77777777" w:rsidR="005503C8" w:rsidRPr="006D4441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Termín posunu predloženia poslednej súhrnnej žiadosti o platbu</w:t>
            </w:r>
          </w:p>
        </w:tc>
        <w:tc>
          <w:tcPr>
            <w:tcW w:w="1842" w:type="dxa"/>
            <w:vAlign w:val="center"/>
          </w:tcPr>
          <w:p w14:paraId="04056D7B" w14:textId="77777777" w:rsidR="005503C8" w:rsidRPr="006D4441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Termín prijatia rozhodnutia k prebiehajúcim skúmaniam</w:t>
            </w:r>
          </w:p>
        </w:tc>
        <w:tc>
          <w:tcPr>
            <w:tcW w:w="1975" w:type="dxa"/>
          </w:tcPr>
          <w:p w14:paraId="5F45AC8C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Termín ukončenia kontroly finančných nástrojov</w:t>
            </w:r>
          </w:p>
        </w:tc>
      </w:tr>
      <w:tr w:rsidR="005503C8" w14:paraId="49324121" w14:textId="77777777" w:rsidTr="005503C8">
        <w:tc>
          <w:tcPr>
            <w:tcW w:w="2410" w:type="dxa"/>
          </w:tcPr>
          <w:p w14:paraId="0FB61C64" w14:textId="77777777" w:rsidR="005503C8" w:rsidRDefault="005503C8" w:rsidP="005503C8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</w:pPr>
            <w:r>
              <w:t>OP Ľudské zdroje</w:t>
            </w:r>
          </w:p>
        </w:tc>
        <w:tc>
          <w:tcPr>
            <w:tcW w:w="1985" w:type="dxa"/>
            <w:vAlign w:val="center"/>
          </w:tcPr>
          <w:p w14:paraId="586BD3DC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31.5.2024</w:t>
            </w:r>
          </w:p>
        </w:tc>
        <w:tc>
          <w:tcPr>
            <w:tcW w:w="1842" w:type="dxa"/>
            <w:vAlign w:val="center"/>
          </w:tcPr>
          <w:p w14:paraId="3BAB8D38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30.6.2024</w:t>
            </w:r>
          </w:p>
        </w:tc>
        <w:tc>
          <w:tcPr>
            <w:tcW w:w="1975" w:type="dxa"/>
            <w:vAlign w:val="center"/>
          </w:tcPr>
          <w:p w14:paraId="3F555F35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30.9.2024</w:t>
            </w:r>
          </w:p>
        </w:tc>
      </w:tr>
      <w:tr w:rsidR="005503C8" w14:paraId="517CAA69" w14:textId="77777777" w:rsidTr="005503C8">
        <w:tc>
          <w:tcPr>
            <w:tcW w:w="2410" w:type="dxa"/>
          </w:tcPr>
          <w:p w14:paraId="27F976C4" w14:textId="77777777" w:rsidR="005503C8" w:rsidRDefault="005503C8" w:rsidP="005503C8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</w:pPr>
            <w:r>
              <w:t>OP Integrovaná infraštruktúra</w:t>
            </w:r>
          </w:p>
        </w:tc>
        <w:tc>
          <w:tcPr>
            <w:tcW w:w="1985" w:type="dxa"/>
            <w:vAlign w:val="center"/>
          </w:tcPr>
          <w:p w14:paraId="284E06A2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30.4.2024</w:t>
            </w:r>
          </w:p>
        </w:tc>
        <w:tc>
          <w:tcPr>
            <w:tcW w:w="1842" w:type="dxa"/>
            <w:vAlign w:val="center"/>
          </w:tcPr>
          <w:p w14:paraId="54614EFD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31.5.2024</w:t>
            </w:r>
          </w:p>
        </w:tc>
        <w:tc>
          <w:tcPr>
            <w:tcW w:w="1975" w:type="dxa"/>
            <w:vAlign w:val="center"/>
          </w:tcPr>
          <w:p w14:paraId="34202D75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30.9.2024</w:t>
            </w:r>
          </w:p>
        </w:tc>
      </w:tr>
      <w:tr w:rsidR="005503C8" w14:paraId="2AF2F49F" w14:textId="77777777" w:rsidTr="005503C8">
        <w:tc>
          <w:tcPr>
            <w:tcW w:w="2410" w:type="dxa"/>
          </w:tcPr>
          <w:p w14:paraId="36A24DDE" w14:textId="77777777" w:rsidR="005503C8" w:rsidRDefault="005503C8" w:rsidP="005503C8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</w:pPr>
            <w:r>
              <w:t>OP Kvalita životného prostredia</w:t>
            </w:r>
          </w:p>
        </w:tc>
        <w:tc>
          <w:tcPr>
            <w:tcW w:w="1985" w:type="dxa"/>
            <w:vAlign w:val="center"/>
          </w:tcPr>
          <w:p w14:paraId="0B9221AE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10.5.2024</w:t>
            </w:r>
          </w:p>
        </w:tc>
        <w:tc>
          <w:tcPr>
            <w:tcW w:w="1842" w:type="dxa"/>
            <w:vAlign w:val="center"/>
          </w:tcPr>
          <w:p w14:paraId="0022D67F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15.6.2024</w:t>
            </w:r>
          </w:p>
        </w:tc>
        <w:tc>
          <w:tcPr>
            <w:tcW w:w="1975" w:type="dxa"/>
            <w:vAlign w:val="center"/>
          </w:tcPr>
          <w:p w14:paraId="538B8826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30.9.2024</w:t>
            </w:r>
          </w:p>
        </w:tc>
      </w:tr>
      <w:tr w:rsidR="005503C8" w14:paraId="302D9D64" w14:textId="77777777" w:rsidTr="005503C8">
        <w:tc>
          <w:tcPr>
            <w:tcW w:w="2410" w:type="dxa"/>
          </w:tcPr>
          <w:p w14:paraId="459F3F51" w14:textId="77777777" w:rsidR="005503C8" w:rsidRDefault="005503C8" w:rsidP="005503C8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</w:pPr>
            <w:r>
              <w:t>Integrovaný regionálny operačný program</w:t>
            </w:r>
          </w:p>
        </w:tc>
        <w:tc>
          <w:tcPr>
            <w:tcW w:w="1985" w:type="dxa"/>
            <w:vAlign w:val="center"/>
          </w:tcPr>
          <w:p w14:paraId="094CF22D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31.5.2024</w:t>
            </w:r>
          </w:p>
        </w:tc>
        <w:tc>
          <w:tcPr>
            <w:tcW w:w="1842" w:type="dxa"/>
            <w:vAlign w:val="center"/>
          </w:tcPr>
          <w:p w14:paraId="67F36377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30.6.2024</w:t>
            </w:r>
          </w:p>
        </w:tc>
        <w:tc>
          <w:tcPr>
            <w:tcW w:w="1975" w:type="dxa"/>
            <w:vAlign w:val="center"/>
          </w:tcPr>
          <w:p w14:paraId="7F3BB221" w14:textId="77777777" w:rsidR="005503C8" w:rsidRDefault="005503C8" w:rsidP="00B42122">
            <w:pPr>
              <w:tabs>
                <w:tab w:val="left" w:pos="284"/>
                <w:tab w:val="left" w:pos="709"/>
                <w:tab w:val="left" w:pos="1134"/>
              </w:tabs>
              <w:spacing w:line="240" w:lineRule="auto"/>
              <w:jc w:val="center"/>
            </w:pPr>
            <w:r>
              <w:t>31.5.2024</w:t>
            </w:r>
          </w:p>
        </w:tc>
      </w:tr>
    </w:tbl>
    <w:p w14:paraId="60FBD37A" w14:textId="77777777" w:rsidR="005503C8" w:rsidRPr="00B42122" w:rsidRDefault="005503C8" w:rsidP="005503C8">
      <w:pPr>
        <w:pStyle w:val="Odsekzoznamu"/>
        <w:suppressAutoHyphens w:val="0"/>
        <w:spacing w:line="240" w:lineRule="auto"/>
        <w:ind w:left="851"/>
        <w:contextualSpacing w:val="0"/>
        <w:jc w:val="both"/>
        <w:rPr>
          <w:rFonts w:cs="Calibri"/>
          <w:b/>
          <w:bCs/>
          <w:sz w:val="18"/>
          <w:szCs w:val="18"/>
        </w:rPr>
      </w:pPr>
      <w:r w:rsidRPr="00B42122">
        <w:rPr>
          <w:rFonts w:cs="Calibri"/>
          <w:i/>
          <w:sz w:val="18"/>
          <w:szCs w:val="18"/>
        </w:rPr>
        <w:t>Zdroj údajov: Certifikačný orgán (MF SR), RO</w:t>
      </w:r>
    </w:p>
    <w:p w14:paraId="5CEA3547" w14:textId="77777777" w:rsidR="00B42122" w:rsidRDefault="00B42122" w:rsidP="005503C8">
      <w:pPr>
        <w:tabs>
          <w:tab w:val="left" w:pos="284"/>
          <w:tab w:val="left" w:pos="709"/>
          <w:tab w:val="left" w:pos="1134"/>
        </w:tabs>
        <w:spacing w:before="120" w:line="240" w:lineRule="auto"/>
        <w:ind w:left="851"/>
        <w:jc w:val="both"/>
      </w:pPr>
    </w:p>
    <w:p w14:paraId="37ECDA78" w14:textId="50EE3168" w:rsidR="005503C8" w:rsidRDefault="005503C8" w:rsidP="005503C8">
      <w:pPr>
        <w:tabs>
          <w:tab w:val="left" w:pos="284"/>
          <w:tab w:val="left" w:pos="709"/>
          <w:tab w:val="left" w:pos="1134"/>
        </w:tabs>
        <w:spacing w:before="120" w:line="240" w:lineRule="auto"/>
        <w:ind w:left="851"/>
        <w:jc w:val="both"/>
      </w:pPr>
      <w:r>
        <w:t>Jednotlivé termíny boli určené na základe bilaterálnych stretnutí MF SR s  riadiacimi a sprostredkovateľskými orgánmi. Termíny pre ostatné riadiace orgány budú stanovené na základe bilaterálnych stretnutí, ktoré sa uskutočnia v 8. týždni.</w:t>
      </w:r>
    </w:p>
    <w:p w14:paraId="1485FDB2" w14:textId="77777777" w:rsidR="005503C8" w:rsidRPr="00E92534" w:rsidRDefault="005503C8" w:rsidP="005503C8">
      <w:pPr>
        <w:pStyle w:val="Odsekzoznamu"/>
        <w:suppressAutoHyphens w:val="0"/>
        <w:spacing w:before="120" w:line="240" w:lineRule="auto"/>
        <w:ind w:left="851"/>
        <w:contextualSpacing w:val="0"/>
        <w:jc w:val="both"/>
        <w:rPr>
          <w:rFonts w:cs="Calibri"/>
          <w:b/>
          <w:bCs/>
        </w:rPr>
      </w:pPr>
      <w:r>
        <w:t>MF SR informovalo EK o predložení záverečných žiadostí o platbu na EK v druhom polroku 2024 a následnom spracovaní a predložení Účtov za 10. účtovný rok na EK v roku 2025.</w:t>
      </w:r>
    </w:p>
    <w:p w14:paraId="73624FCE" w14:textId="77777777" w:rsidR="005503C8" w:rsidRPr="00117156" w:rsidRDefault="005503C8" w:rsidP="005503C8">
      <w:pPr>
        <w:pStyle w:val="Odsekzoznamu"/>
        <w:numPr>
          <w:ilvl w:val="1"/>
          <w:numId w:val="7"/>
        </w:numPr>
        <w:suppressAutoHyphens w:val="0"/>
        <w:spacing w:before="120" w:line="240" w:lineRule="auto"/>
        <w:ind w:left="851"/>
        <w:contextualSpacing w:val="0"/>
        <w:jc w:val="both"/>
        <w:rPr>
          <w:rFonts w:cs="Calibri"/>
          <w:b/>
          <w:bCs/>
        </w:rPr>
      </w:pPr>
      <w:r w:rsidRPr="005C1B8C">
        <w:rPr>
          <w:b/>
        </w:rPr>
        <w:t>možnosť 100 % financovania zo zdrojov EÚ pre posledný 10. účtovný rok</w:t>
      </w:r>
      <w:r>
        <w:t>, ktorá bude osobitne diskutovaná na úrovni operačných programov/prioritných osí v júni 2024, a to po posúdení stavu celkového čerpania, rizikových výdavkov a finančných opráv.</w:t>
      </w:r>
    </w:p>
    <w:p w14:paraId="73235A29" w14:textId="6324874A" w:rsidR="005503C8" w:rsidRDefault="005503C8" w:rsidP="005503C8">
      <w:pPr>
        <w:pStyle w:val="Odsekzoznamu"/>
        <w:suppressAutoHyphens w:val="0"/>
        <w:spacing w:before="120" w:line="240" w:lineRule="auto"/>
        <w:ind w:left="426"/>
        <w:contextualSpacing w:val="0"/>
        <w:jc w:val="both"/>
        <w:rPr>
          <w:rFonts w:cs="Calibri"/>
          <w:b/>
          <w:bCs/>
        </w:rPr>
      </w:pPr>
    </w:p>
    <w:p w14:paraId="6C0942D2" w14:textId="0597D699" w:rsidR="0027365D" w:rsidRPr="00117156" w:rsidRDefault="008D38CB" w:rsidP="004D28EC">
      <w:pPr>
        <w:suppressAutoHyphens w:val="0"/>
        <w:spacing w:before="240" w:line="240" w:lineRule="auto"/>
        <w:ind w:left="142"/>
        <w:jc w:val="both"/>
        <w:rPr>
          <w:rFonts w:cs="Calibri"/>
          <w:b/>
        </w:rPr>
      </w:pPr>
      <w:r w:rsidRPr="008F7D2B">
        <w:rPr>
          <w:rFonts w:cs="Calibri"/>
          <w:b/>
        </w:rPr>
        <w:lastRenderedPageBreak/>
        <w:t xml:space="preserve">Tabuľka č. </w:t>
      </w:r>
      <w:r w:rsidR="00C67B8E" w:rsidRPr="008F7D2B">
        <w:rPr>
          <w:rFonts w:cs="Calibri"/>
          <w:b/>
        </w:rPr>
        <w:t>2</w:t>
      </w:r>
      <w:r w:rsidRPr="008F7D2B">
        <w:rPr>
          <w:rFonts w:cs="Calibri"/>
          <w:b/>
        </w:rPr>
        <w:t xml:space="preserve">: </w:t>
      </w:r>
      <w:r w:rsidR="002C14E4" w:rsidRPr="008F7D2B">
        <w:rPr>
          <w:rFonts w:cs="Calibri"/>
          <w:b/>
        </w:rPr>
        <w:t xml:space="preserve">Prehľad opatrení na vyčerpanie </w:t>
      </w:r>
      <w:r w:rsidR="00202638" w:rsidRPr="008F7D2B">
        <w:rPr>
          <w:rFonts w:cs="Calibri"/>
          <w:b/>
        </w:rPr>
        <w:t>1,</w:t>
      </w:r>
      <w:r w:rsidR="000E44CF" w:rsidRPr="008F7D2B">
        <w:rPr>
          <w:rFonts w:cs="Calibri"/>
          <w:b/>
        </w:rPr>
        <w:t>08</w:t>
      </w:r>
      <w:r w:rsidR="002C14E4" w:rsidRPr="008F7D2B">
        <w:rPr>
          <w:rFonts w:cs="Calibri"/>
          <w:b/>
        </w:rPr>
        <w:t xml:space="preserve"> mld. EUR</w:t>
      </w:r>
    </w:p>
    <w:p w14:paraId="583CE1E2" w14:textId="27A36064" w:rsidR="00C6391A" w:rsidRPr="00117156" w:rsidRDefault="00C6391A" w:rsidP="004D28EC">
      <w:pPr>
        <w:suppressAutoHyphens w:val="0"/>
        <w:spacing w:line="240" w:lineRule="auto"/>
        <w:jc w:val="both"/>
        <w:rPr>
          <w:rFonts w:cs="Calibri"/>
          <w:b/>
        </w:rPr>
      </w:pPr>
      <w:r w:rsidRPr="00C6391A">
        <w:rPr>
          <w:noProof/>
          <w:lang w:eastAsia="sk-SK"/>
        </w:rPr>
        <w:drawing>
          <wp:inline distT="0" distB="0" distL="0" distR="0" wp14:anchorId="4C98C07B" wp14:editId="36C0FD1F">
            <wp:extent cx="6115685" cy="2747579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075" cy="275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EB6A1" w14:textId="6209E21F" w:rsidR="00233816" w:rsidRPr="00B42122" w:rsidRDefault="00233816" w:rsidP="00B42122">
      <w:pPr>
        <w:spacing w:line="240" w:lineRule="auto"/>
        <w:rPr>
          <w:rFonts w:cs="Calibri"/>
          <w:i/>
          <w:sz w:val="18"/>
          <w:szCs w:val="18"/>
        </w:rPr>
      </w:pPr>
      <w:r w:rsidRPr="00B42122">
        <w:rPr>
          <w:rFonts w:cs="Calibri"/>
          <w:i/>
          <w:sz w:val="18"/>
          <w:szCs w:val="18"/>
        </w:rPr>
        <w:t>Zdroj údajov: Certifikačný orgán (MF SR), RO</w:t>
      </w:r>
    </w:p>
    <w:p w14:paraId="3034B9EC" w14:textId="0054A461" w:rsidR="005B7128" w:rsidRPr="00B42122" w:rsidRDefault="005B7128" w:rsidP="00B42122">
      <w:pPr>
        <w:spacing w:after="120" w:line="240" w:lineRule="auto"/>
        <w:jc w:val="both"/>
        <w:rPr>
          <w:rFonts w:cs="Calibri"/>
          <w:i/>
          <w:sz w:val="18"/>
          <w:szCs w:val="18"/>
        </w:rPr>
      </w:pPr>
      <w:r w:rsidRPr="00B42122">
        <w:rPr>
          <w:rFonts w:cs="Calibri"/>
          <w:i/>
          <w:sz w:val="18"/>
          <w:szCs w:val="18"/>
        </w:rPr>
        <w:t>Uvedené zostatky</w:t>
      </w:r>
      <w:r w:rsidR="00B42122" w:rsidRPr="00B42122">
        <w:rPr>
          <w:rFonts w:cs="Calibri"/>
          <w:i/>
          <w:sz w:val="18"/>
          <w:szCs w:val="18"/>
        </w:rPr>
        <w:t xml:space="preserve"> </w:t>
      </w:r>
      <w:proofErr w:type="spellStart"/>
      <w:r w:rsidR="00B42122" w:rsidRPr="00B42122">
        <w:rPr>
          <w:rFonts w:cs="Calibri"/>
          <w:i/>
          <w:sz w:val="18"/>
          <w:szCs w:val="18"/>
        </w:rPr>
        <w:t>realokácií</w:t>
      </w:r>
      <w:proofErr w:type="spellEnd"/>
      <w:r w:rsidRPr="00B42122">
        <w:rPr>
          <w:rFonts w:cs="Calibri"/>
          <w:i/>
          <w:sz w:val="18"/>
          <w:szCs w:val="18"/>
        </w:rPr>
        <w:t xml:space="preserve"> na </w:t>
      </w:r>
      <w:proofErr w:type="spellStart"/>
      <w:r w:rsidRPr="00B42122">
        <w:rPr>
          <w:rFonts w:cs="Calibri"/>
          <w:i/>
          <w:sz w:val="18"/>
          <w:szCs w:val="18"/>
        </w:rPr>
        <w:t>energokrízu</w:t>
      </w:r>
      <w:proofErr w:type="spellEnd"/>
      <w:r w:rsidRPr="00B42122">
        <w:rPr>
          <w:rFonts w:cs="Calibri"/>
          <w:i/>
          <w:sz w:val="18"/>
          <w:szCs w:val="18"/>
        </w:rPr>
        <w:t xml:space="preserve"> sú nevyčerpané prostriedky z aktuálne uzatvorených zmlúv. Podľa odhadov</w:t>
      </w:r>
      <w:r w:rsidR="00B42122" w:rsidRPr="00B42122">
        <w:rPr>
          <w:rFonts w:cs="Calibri"/>
          <w:i/>
          <w:sz w:val="18"/>
          <w:szCs w:val="18"/>
        </w:rPr>
        <w:t xml:space="preserve"> jednotlivých RO zostáva na </w:t>
      </w:r>
      <w:proofErr w:type="spellStart"/>
      <w:r w:rsidR="00B42122" w:rsidRPr="00B42122">
        <w:rPr>
          <w:rFonts w:cs="Calibri"/>
          <w:i/>
          <w:sz w:val="18"/>
          <w:szCs w:val="18"/>
        </w:rPr>
        <w:t>energokrízu</w:t>
      </w:r>
      <w:proofErr w:type="spellEnd"/>
      <w:r w:rsidR="00B42122" w:rsidRPr="00B42122">
        <w:rPr>
          <w:rFonts w:cs="Calibri"/>
          <w:i/>
          <w:sz w:val="18"/>
          <w:szCs w:val="18"/>
        </w:rPr>
        <w:t xml:space="preserve"> </w:t>
      </w:r>
      <w:r w:rsidR="00B42122">
        <w:rPr>
          <w:rFonts w:cs="Calibri"/>
          <w:i/>
          <w:sz w:val="18"/>
          <w:szCs w:val="18"/>
        </w:rPr>
        <w:t>do</w:t>
      </w:r>
      <w:r w:rsidR="00B42122" w:rsidRPr="00B42122">
        <w:rPr>
          <w:rFonts w:cs="Calibri"/>
          <w:i/>
          <w:sz w:val="18"/>
          <w:szCs w:val="18"/>
        </w:rPr>
        <w:t>čerpať cca 438,5 mil. EUR (OP II 1,5 mil. EUR, IROP 10 mil. EUR, OP KŽP 427 mil. EUR).</w:t>
      </w:r>
      <w:r w:rsidR="005C1B8C">
        <w:rPr>
          <w:rFonts w:cs="Calibri"/>
          <w:i/>
          <w:sz w:val="18"/>
          <w:szCs w:val="18"/>
        </w:rPr>
        <w:t xml:space="preserve"> Odhadovaná</w:t>
      </w:r>
      <w:r w:rsidR="00B42122">
        <w:rPr>
          <w:rFonts w:cs="Calibri"/>
          <w:i/>
          <w:sz w:val="18"/>
          <w:szCs w:val="18"/>
        </w:rPr>
        <w:t xml:space="preserve"> suma </w:t>
      </w:r>
      <w:r w:rsidR="005C1B8C">
        <w:rPr>
          <w:rFonts w:cs="Calibri"/>
          <w:i/>
          <w:sz w:val="18"/>
          <w:szCs w:val="18"/>
        </w:rPr>
        <w:t xml:space="preserve">na dočerpanie </w:t>
      </w:r>
      <w:r w:rsidR="00B42122">
        <w:rPr>
          <w:rFonts w:cs="Calibri"/>
          <w:i/>
          <w:sz w:val="18"/>
          <w:szCs w:val="18"/>
        </w:rPr>
        <w:t>bude predmetom rokovania pracovnej skupiny SAFE dňa 22.02.2024.</w:t>
      </w:r>
    </w:p>
    <w:p w14:paraId="4C58C7F4" w14:textId="77777777" w:rsidR="005B7128" w:rsidRPr="00517006" w:rsidRDefault="005B7128" w:rsidP="004D28EC">
      <w:pPr>
        <w:spacing w:after="120" w:line="240" w:lineRule="auto"/>
        <w:rPr>
          <w:rFonts w:cs="Calibri"/>
          <w:i/>
        </w:rPr>
      </w:pPr>
    </w:p>
    <w:p w14:paraId="57DDDEE6" w14:textId="3DD3B6DF" w:rsidR="0013527E" w:rsidRPr="00117156" w:rsidRDefault="0013527E" w:rsidP="00517006">
      <w:pPr>
        <w:suppressAutoHyphens w:val="0"/>
        <w:spacing w:before="120" w:line="240" w:lineRule="auto"/>
        <w:jc w:val="both"/>
        <w:rPr>
          <w:rFonts w:cs="Calibri"/>
          <w:b/>
        </w:rPr>
      </w:pPr>
      <w:r w:rsidRPr="00117156">
        <w:rPr>
          <w:rFonts w:cs="Calibri"/>
          <w:b/>
        </w:rPr>
        <w:t xml:space="preserve">Z objemu </w:t>
      </w:r>
      <w:r w:rsidR="00202638">
        <w:rPr>
          <w:rFonts w:cs="Calibri"/>
          <w:b/>
        </w:rPr>
        <w:t>1,</w:t>
      </w:r>
      <w:r w:rsidR="000E44CF">
        <w:rPr>
          <w:rFonts w:cs="Calibri"/>
          <w:b/>
        </w:rPr>
        <w:t>08</w:t>
      </w:r>
      <w:r w:rsidRPr="00117156">
        <w:rPr>
          <w:rFonts w:cs="Calibri"/>
          <w:b/>
        </w:rPr>
        <w:t xml:space="preserve"> mld. EUR je plánovaných na:</w:t>
      </w:r>
    </w:p>
    <w:p w14:paraId="75BD1330" w14:textId="59E8D936" w:rsidR="0013527E" w:rsidRPr="00117156" w:rsidRDefault="0013527E" w:rsidP="004D28EC">
      <w:pPr>
        <w:pStyle w:val="Odsekzoznamu"/>
        <w:numPr>
          <w:ilvl w:val="0"/>
          <w:numId w:val="18"/>
        </w:numPr>
        <w:tabs>
          <w:tab w:val="left" w:pos="4253"/>
        </w:tabs>
        <w:suppressAutoHyphens w:val="0"/>
        <w:spacing w:before="120" w:line="240" w:lineRule="auto"/>
        <w:ind w:left="426" w:right="-142" w:hanging="284"/>
        <w:contextualSpacing w:val="0"/>
        <w:rPr>
          <w:rFonts w:cs="Calibri"/>
        </w:rPr>
      </w:pPr>
      <w:r w:rsidRPr="00117156">
        <w:rPr>
          <w:rFonts w:cs="Calibri"/>
          <w:b/>
        </w:rPr>
        <w:t>SAFE</w:t>
      </w:r>
      <w:r w:rsidRPr="00117156">
        <w:rPr>
          <w:rFonts w:cs="Calibri"/>
        </w:rPr>
        <w:t>, t.</w:t>
      </w:r>
      <w:r w:rsidR="00F83FF7" w:rsidRPr="00117156">
        <w:rPr>
          <w:rFonts w:cs="Calibri"/>
        </w:rPr>
        <w:t xml:space="preserve"> </w:t>
      </w:r>
      <w:r w:rsidRPr="00117156">
        <w:rPr>
          <w:rFonts w:cs="Calibri"/>
        </w:rPr>
        <w:t xml:space="preserve">j. riešenie </w:t>
      </w:r>
      <w:proofErr w:type="spellStart"/>
      <w:r w:rsidRPr="00117156">
        <w:rPr>
          <w:rFonts w:cs="Calibri"/>
        </w:rPr>
        <w:t>energokrízy</w:t>
      </w:r>
      <w:proofErr w:type="spellEnd"/>
      <w:r w:rsidRPr="00117156">
        <w:rPr>
          <w:rFonts w:cs="Calibri"/>
        </w:rPr>
        <w:t>:</w:t>
      </w:r>
      <w:r w:rsidR="008E2D3C" w:rsidRPr="00117156">
        <w:rPr>
          <w:rFonts w:cs="Calibri"/>
        </w:rPr>
        <w:tab/>
      </w:r>
      <w:r w:rsidR="000E44CF">
        <w:rPr>
          <w:rFonts w:cs="Calibri"/>
        </w:rPr>
        <w:t>490,23</w:t>
      </w:r>
      <w:r w:rsidRPr="00117156">
        <w:rPr>
          <w:rFonts w:cs="Calibri"/>
        </w:rPr>
        <w:t xml:space="preserve"> m</w:t>
      </w:r>
      <w:r w:rsidR="00CF1A69" w:rsidRPr="00117156">
        <w:rPr>
          <w:rFonts w:cs="Calibri"/>
        </w:rPr>
        <w:t>il</w:t>
      </w:r>
      <w:r w:rsidRPr="00117156">
        <w:rPr>
          <w:rFonts w:cs="Calibri"/>
        </w:rPr>
        <w:t>. EUR</w:t>
      </w:r>
      <w:r w:rsidR="00CF1A69" w:rsidRPr="00117156">
        <w:rPr>
          <w:rFonts w:cs="Calibri"/>
        </w:rPr>
        <w:t xml:space="preserve"> (</w:t>
      </w:r>
      <w:r w:rsidR="007D3DCC" w:rsidRPr="00117156">
        <w:rPr>
          <w:rFonts w:cs="Calibri"/>
        </w:rPr>
        <w:t>500,08</w:t>
      </w:r>
      <w:r w:rsidR="00CF1A69" w:rsidRPr="00117156">
        <w:rPr>
          <w:rFonts w:cs="Calibri"/>
        </w:rPr>
        <w:t xml:space="preserve"> </w:t>
      </w:r>
      <w:r w:rsidR="007D3DCC" w:rsidRPr="00117156">
        <w:rPr>
          <w:rFonts w:cs="Calibri"/>
        </w:rPr>
        <w:t>mil. EUR už bolo vyčerpaných)</w:t>
      </w:r>
    </w:p>
    <w:p w14:paraId="71961F61" w14:textId="23BAEBE3" w:rsidR="0013527E" w:rsidRPr="00117156" w:rsidRDefault="0013527E" w:rsidP="004D28EC">
      <w:pPr>
        <w:pStyle w:val="Odsekzoznamu"/>
        <w:numPr>
          <w:ilvl w:val="0"/>
          <w:numId w:val="18"/>
        </w:numPr>
        <w:tabs>
          <w:tab w:val="left" w:pos="4253"/>
        </w:tabs>
        <w:suppressAutoHyphens w:val="0"/>
        <w:spacing w:line="240" w:lineRule="auto"/>
        <w:ind w:left="426" w:right="-144" w:hanging="284"/>
        <w:contextualSpacing w:val="0"/>
        <w:jc w:val="both"/>
        <w:rPr>
          <w:rFonts w:cs="Calibri"/>
        </w:rPr>
      </w:pPr>
      <w:r w:rsidRPr="00117156">
        <w:rPr>
          <w:rFonts w:cs="Calibri"/>
          <w:b/>
        </w:rPr>
        <w:t>FAST CARE</w:t>
      </w:r>
      <w:r w:rsidR="00EA7530" w:rsidRPr="00117156">
        <w:rPr>
          <w:rFonts w:cs="Calibri"/>
        </w:rPr>
        <w:t xml:space="preserve">, podpora UA utečencov: </w:t>
      </w:r>
      <w:r w:rsidR="00EA7530" w:rsidRPr="00117156">
        <w:rPr>
          <w:rFonts w:cs="Calibri"/>
        </w:rPr>
        <w:tab/>
      </w:r>
      <w:r w:rsidR="000E44CF">
        <w:rPr>
          <w:rFonts w:cs="Calibri"/>
        </w:rPr>
        <w:t>61,75</w:t>
      </w:r>
      <w:r w:rsidR="008E2D3C" w:rsidRPr="00117156">
        <w:rPr>
          <w:rFonts w:cs="Calibri"/>
        </w:rPr>
        <w:t xml:space="preserve"> mil. EUR (</w:t>
      </w:r>
      <w:r w:rsidR="00D348FB" w:rsidRPr="00117156">
        <w:rPr>
          <w:rFonts w:cs="Calibri"/>
        </w:rPr>
        <w:t>2</w:t>
      </w:r>
      <w:r w:rsidR="000E44CF">
        <w:rPr>
          <w:rFonts w:cs="Calibri"/>
        </w:rPr>
        <w:t>77,8</w:t>
      </w:r>
      <w:r w:rsidR="00202638">
        <w:rPr>
          <w:rFonts w:cs="Calibri"/>
        </w:rPr>
        <w:t>1</w:t>
      </w:r>
      <w:r w:rsidR="00D348FB" w:rsidRPr="00117156">
        <w:rPr>
          <w:rFonts w:cs="Calibri"/>
        </w:rPr>
        <w:t xml:space="preserve"> </w:t>
      </w:r>
      <w:r w:rsidR="008E2D3C" w:rsidRPr="00117156">
        <w:rPr>
          <w:rFonts w:cs="Calibri"/>
        </w:rPr>
        <w:t>mil. EUR už bolo vyčerpan</w:t>
      </w:r>
      <w:r w:rsidR="0071458E" w:rsidRPr="00117156">
        <w:rPr>
          <w:rFonts w:cs="Calibri"/>
        </w:rPr>
        <w:t>ých</w:t>
      </w:r>
      <w:r w:rsidR="008E2D3C" w:rsidRPr="00117156">
        <w:rPr>
          <w:rFonts w:cs="Calibri"/>
        </w:rPr>
        <w:t>)</w:t>
      </w:r>
    </w:p>
    <w:p w14:paraId="68C8558D" w14:textId="33A85D25" w:rsidR="00A33CAA" w:rsidRPr="00A33CAA" w:rsidRDefault="007E2476" w:rsidP="004D28EC">
      <w:pPr>
        <w:pStyle w:val="Odsekzoznamu"/>
        <w:numPr>
          <w:ilvl w:val="0"/>
          <w:numId w:val="18"/>
        </w:numPr>
        <w:tabs>
          <w:tab w:val="left" w:pos="4253"/>
        </w:tabs>
        <w:suppressAutoHyphens w:val="0"/>
        <w:spacing w:after="160" w:line="240" w:lineRule="auto"/>
        <w:ind w:left="426" w:hanging="284"/>
        <w:contextualSpacing w:val="0"/>
        <w:jc w:val="both"/>
        <w:rPr>
          <w:rFonts w:cs="Calibri"/>
          <w:iCs/>
        </w:rPr>
      </w:pPr>
      <w:r w:rsidRPr="00A950DF">
        <w:rPr>
          <w:rFonts w:cs="Calibri"/>
          <w:b/>
        </w:rPr>
        <w:t xml:space="preserve">realizácia </w:t>
      </w:r>
      <w:proofErr w:type="spellStart"/>
      <w:r w:rsidRPr="00A950DF">
        <w:rPr>
          <w:rFonts w:cs="Calibri"/>
          <w:b/>
        </w:rPr>
        <w:t>zazmluvnených</w:t>
      </w:r>
      <w:proofErr w:type="spellEnd"/>
      <w:r w:rsidR="0013527E" w:rsidRPr="00A950DF">
        <w:rPr>
          <w:rFonts w:cs="Calibri"/>
          <w:b/>
        </w:rPr>
        <w:t xml:space="preserve"> projektov EŠIF:</w:t>
      </w:r>
      <w:r w:rsidR="005F5EE1">
        <w:rPr>
          <w:rFonts w:cs="Calibri"/>
          <w:b/>
        </w:rPr>
        <w:tab/>
      </w:r>
      <w:r w:rsidR="000E44CF">
        <w:rPr>
          <w:rFonts w:cs="Calibri"/>
          <w:b/>
        </w:rPr>
        <w:t>532,39</w:t>
      </w:r>
      <w:r w:rsidR="0013527E" w:rsidRPr="00A950DF">
        <w:rPr>
          <w:rFonts w:cs="Calibri"/>
          <w:b/>
        </w:rPr>
        <w:t xml:space="preserve"> m</w:t>
      </w:r>
      <w:r w:rsidR="000E44CF">
        <w:rPr>
          <w:rFonts w:cs="Calibri"/>
          <w:b/>
        </w:rPr>
        <w:t>i</w:t>
      </w:r>
      <w:r w:rsidR="0013527E" w:rsidRPr="00A950DF">
        <w:rPr>
          <w:rFonts w:cs="Calibri"/>
          <w:b/>
        </w:rPr>
        <w:t>l</w:t>
      </w:r>
      <w:r w:rsidR="0013527E" w:rsidRPr="00A950DF">
        <w:rPr>
          <w:rFonts w:cs="Calibri"/>
        </w:rPr>
        <w:t xml:space="preserve">. </w:t>
      </w:r>
      <w:r w:rsidR="0013527E" w:rsidRPr="00A950DF">
        <w:rPr>
          <w:rFonts w:cs="Calibri"/>
          <w:b/>
        </w:rPr>
        <w:t>EUR (t.</w:t>
      </w:r>
      <w:r w:rsidR="00BB4003" w:rsidRPr="00A950DF">
        <w:rPr>
          <w:rFonts w:cs="Calibri"/>
          <w:b/>
        </w:rPr>
        <w:t xml:space="preserve"> </w:t>
      </w:r>
      <w:r w:rsidR="0013527E" w:rsidRPr="00A950DF">
        <w:rPr>
          <w:rFonts w:cs="Calibri"/>
          <w:b/>
        </w:rPr>
        <w:t xml:space="preserve">j. </w:t>
      </w:r>
      <w:r w:rsidR="000E44CF">
        <w:rPr>
          <w:rFonts w:cs="Calibri"/>
          <w:b/>
        </w:rPr>
        <w:t>3</w:t>
      </w:r>
      <w:r w:rsidR="007D3DCC" w:rsidRPr="00A950DF">
        <w:rPr>
          <w:rFonts w:cs="Calibri"/>
          <w:b/>
        </w:rPr>
        <w:t>,</w:t>
      </w:r>
      <w:r w:rsidR="000E44CF">
        <w:rPr>
          <w:rFonts w:cs="Calibri"/>
          <w:b/>
        </w:rPr>
        <w:t>67</w:t>
      </w:r>
      <w:r w:rsidR="00C34293" w:rsidRPr="00A950DF">
        <w:rPr>
          <w:rFonts w:cs="Calibri"/>
          <w:b/>
        </w:rPr>
        <w:t xml:space="preserve"> </w:t>
      </w:r>
      <w:r w:rsidR="0013527E" w:rsidRPr="00A950DF">
        <w:rPr>
          <w:rFonts w:cs="Calibri"/>
          <w:b/>
        </w:rPr>
        <w:t>% z alokácie)</w:t>
      </w:r>
      <w:r w:rsidR="00EA5559" w:rsidRPr="00A950DF">
        <w:rPr>
          <w:rFonts w:cs="Calibri"/>
          <w:b/>
        </w:rPr>
        <w:t>.</w:t>
      </w:r>
    </w:p>
    <w:p w14:paraId="473BA28E" w14:textId="77777777" w:rsidR="00A33CAA" w:rsidRDefault="00A33CAA" w:rsidP="004D28EC">
      <w:pPr>
        <w:tabs>
          <w:tab w:val="left" w:pos="4253"/>
        </w:tabs>
        <w:suppressAutoHyphens w:val="0"/>
        <w:spacing w:after="160" w:line="240" w:lineRule="auto"/>
        <w:jc w:val="both"/>
        <w:rPr>
          <w:rStyle w:val="Intenzvnezvraznenie"/>
          <w:rFonts w:cs="Calibri"/>
          <w:i w:val="0"/>
          <w:color w:val="auto"/>
        </w:rPr>
      </w:pPr>
    </w:p>
    <w:p w14:paraId="5A766FC2" w14:textId="0CF5A806" w:rsidR="00F85525" w:rsidRPr="00A33CAA" w:rsidRDefault="00F85525" w:rsidP="004D28EC">
      <w:pPr>
        <w:tabs>
          <w:tab w:val="left" w:pos="4253"/>
        </w:tabs>
        <w:suppressAutoHyphens w:val="0"/>
        <w:spacing w:after="160" w:line="240" w:lineRule="auto"/>
        <w:jc w:val="both"/>
        <w:rPr>
          <w:rStyle w:val="Intenzvnezvraznenie"/>
          <w:rFonts w:cs="Calibri"/>
          <w:i w:val="0"/>
          <w:color w:val="auto"/>
        </w:rPr>
      </w:pPr>
      <w:r w:rsidRPr="00A33CAA">
        <w:rPr>
          <w:rStyle w:val="Intenzvnezvraznenie"/>
          <w:rFonts w:cs="Calibri"/>
          <w:i w:val="0"/>
          <w:color w:val="auto"/>
        </w:rPr>
        <w:br w:type="page"/>
      </w:r>
    </w:p>
    <w:p w14:paraId="3C8E16E7" w14:textId="32C86552" w:rsidR="003B1186" w:rsidRPr="00117156" w:rsidRDefault="009736EA" w:rsidP="004D28EC">
      <w:pPr>
        <w:pStyle w:val="Nadpis2"/>
        <w:keepNext w:val="0"/>
        <w:keepLines w:val="0"/>
        <w:numPr>
          <w:ilvl w:val="1"/>
          <w:numId w:val="1"/>
        </w:numPr>
        <w:suppressAutoHyphens w:val="0"/>
        <w:spacing w:before="0" w:after="120" w:line="240" w:lineRule="auto"/>
        <w:ind w:left="709" w:hanging="567"/>
        <w:contextualSpacing/>
        <w:jc w:val="both"/>
        <w:rPr>
          <w:rFonts w:ascii="Calibri" w:eastAsia="Times New Roman" w:hAnsi="Calibri" w:cs="Calibri"/>
          <w:b/>
          <w:color w:val="0055A1"/>
        </w:rPr>
      </w:pPr>
      <w:bookmarkStart w:id="2" w:name="_Toc144991769"/>
      <w:bookmarkStart w:id="3" w:name="_Toc84585137"/>
      <w:bookmarkStart w:id="4" w:name="_Toc158989286"/>
      <w:bookmarkEnd w:id="2"/>
      <w:r w:rsidRPr="00117156">
        <w:rPr>
          <w:rFonts w:ascii="Calibri" w:eastAsia="Times New Roman" w:hAnsi="Calibri" w:cs="Calibri"/>
          <w:b/>
          <w:color w:val="0055A1"/>
        </w:rPr>
        <w:lastRenderedPageBreak/>
        <w:t>Stav implementácie</w:t>
      </w:r>
      <w:bookmarkEnd w:id="3"/>
      <w:r w:rsidR="00E401A6" w:rsidRPr="00117156">
        <w:rPr>
          <w:rFonts w:ascii="Calibri" w:eastAsia="Times New Roman" w:hAnsi="Calibri" w:cs="Calibri"/>
          <w:b/>
          <w:color w:val="0055A1"/>
        </w:rPr>
        <w:t xml:space="preserve"> </w:t>
      </w:r>
      <w:r w:rsidR="001D6084" w:rsidRPr="00117156">
        <w:rPr>
          <w:rFonts w:ascii="Calibri" w:eastAsia="Times New Roman" w:hAnsi="Calibri" w:cs="Calibri"/>
          <w:b/>
          <w:color w:val="0055A1"/>
        </w:rPr>
        <w:t>podľa operačných programov</w:t>
      </w:r>
      <w:bookmarkEnd w:id="4"/>
      <w:r w:rsidR="001D6084" w:rsidRPr="00117156">
        <w:rPr>
          <w:rFonts w:ascii="Calibri" w:eastAsia="Times New Roman" w:hAnsi="Calibri" w:cs="Calibri"/>
          <w:b/>
          <w:color w:val="0055A1"/>
        </w:rPr>
        <w:t xml:space="preserve"> </w:t>
      </w:r>
    </w:p>
    <w:p w14:paraId="701FA365" w14:textId="28703C0D" w:rsidR="00035589" w:rsidRPr="00117156" w:rsidRDefault="00E21C46" w:rsidP="004D28EC">
      <w:pPr>
        <w:suppressAutoHyphens w:val="0"/>
        <w:spacing w:before="120" w:after="120" w:line="240" w:lineRule="auto"/>
        <w:jc w:val="both"/>
        <w:rPr>
          <w:rStyle w:val="Zstupntext"/>
          <w:rFonts w:ascii="Calibri" w:eastAsiaTheme="majorEastAsia" w:hAnsi="Calibri" w:cs="Calibri"/>
          <w:b/>
          <w:color w:val="auto"/>
          <w:sz w:val="26"/>
          <w:szCs w:val="26"/>
        </w:rPr>
      </w:pPr>
      <w:r w:rsidRPr="00117156">
        <w:rPr>
          <w:rStyle w:val="Zstupntext"/>
          <w:rFonts w:ascii="Calibri" w:hAnsi="Calibri" w:cs="Calibri"/>
          <w:color w:val="000000"/>
        </w:rPr>
        <w:t>Aktuálna alokácia EÚ z</w:t>
      </w:r>
      <w:r w:rsidR="00DB6A6D" w:rsidRPr="00117156">
        <w:rPr>
          <w:rStyle w:val="Zstupntext"/>
          <w:rFonts w:ascii="Calibri" w:hAnsi="Calibri" w:cs="Calibri"/>
          <w:color w:val="000000"/>
        </w:rPr>
        <w:t xml:space="preserve">drojov </w:t>
      </w:r>
      <w:r w:rsidRPr="00117156">
        <w:rPr>
          <w:rStyle w:val="Zstupntext"/>
          <w:rFonts w:ascii="Calibri" w:hAnsi="Calibri" w:cs="Calibri"/>
          <w:color w:val="000000"/>
        </w:rPr>
        <w:t xml:space="preserve">programového obdobia 2014 – 2020 je vo výške 14,50 mld. EUR (oproti pôvodnej alokácii vo výške 13,78 mld. EUR došlo v rokoch 2021 – 2022 k navýšeniu o zdroje REACT-EU vo výške 722,25 mil. EUR). </w:t>
      </w:r>
    </w:p>
    <w:p w14:paraId="5F77C824" w14:textId="77777777" w:rsidR="007A43DD" w:rsidRPr="00117156" w:rsidRDefault="007A43DD" w:rsidP="004D28EC">
      <w:pPr>
        <w:numPr>
          <w:ilvl w:val="0"/>
          <w:numId w:val="6"/>
        </w:numPr>
        <w:spacing w:before="120" w:after="80" w:line="240" w:lineRule="auto"/>
        <w:ind w:left="714" w:hanging="357"/>
        <w:jc w:val="both"/>
        <w:rPr>
          <w:rFonts w:cs="Calibri"/>
          <w:b/>
          <w:color w:val="2F5496" w:themeColor="accent5" w:themeShade="BF"/>
        </w:rPr>
      </w:pPr>
      <w:r w:rsidRPr="00117156">
        <w:rPr>
          <w:rFonts w:cs="Calibri"/>
          <w:b/>
          <w:color w:val="2F5496" w:themeColor="accent5" w:themeShade="BF"/>
        </w:rPr>
        <w:t>Výzvy/vyzvania</w:t>
      </w:r>
    </w:p>
    <w:p w14:paraId="0E660388" w14:textId="6C3CB31D" w:rsidR="00392CDE" w:rsidRPr="00117156" w:rsidRDefault="00DB6A6D" w:rsidP="004D28EC">
      <w:pPr>
        <w:spacing w:before="120" w:after="80" w:line="240" w:lineRule="auto"/>
        <w:jc w:val="both"/>
        <w:rPr>
          <w:rFonts w:cs="Calibri"/>
        </w:rPr>
      </w:pPr>
      <w:r w:rsidRPr="00117156">
        <w:rPr>
          <w:rFonts w:cs="Calibri"/>
          <w:color w:val="000000"/>
        </w:rPr>
        <w:t xml:space="preserve">Z celkovej alokácie na programové obdobie 2014 – 2020 sprístupnili </w:t>
      </w:r>
      <w:r w:rsidR="0090472B" w:rsidRPr="00117156">
        <w:rPr>
          <w:rFonts w:cs="Calibri"/>
          <w:color w:val="000000"/>
        </w:rPr>
        <w:t>RO</w:t>
      </w:r>
      <w:r w:rsidRPr="00117156">
        <w:rPr>
          <w:rFonts w:cs="Calibri"/>
          <w:color w:val="000000"/>
        </w:rPr>
        <w:t xml:space="preserve"> </w:t>
      </w:r>
      <w:r w:rsidR="00392CDE" w:rsidRPr="00117156">
        <w:rPr>
          <w:rFonts w:cs="Calibri"/>
          <w:color w:val="000000"/>
        </w:rPr>
        <w:t>v </w:t>
      </w:r>
      <w:r w:rsidR="00E70F1C" w:rsidRPr="00117156">
        <w:rPr>
          <w:rFonts w:cs="Calibri"/>
          <w:b/>
          <w:color w:val="000000"/>
        </w:rPr>
        <w:t>8</w:t>
      </w:r>
      <w:r w:rsidR="000E44CF">
        <w:rPr>
          <w:rFonts w:cs="Calibri"/>
          <w:b/>
          <w:color w:val="000000"/>
        </w:rPr>
        <w:t>52</w:t>
      </w:r>
      <w:r w:rsidR="00392CDE" w:rsidRPr="00117156">
        <w:rPr>
          <w:rFonts w:cs="Calibri"/>
          <w:b/>
          <w:color w:val="000000"/>
        </w:rPr>
        <w:t xml:space="preserve"> výzvach a vyzvaniach</w:t>
      </w:r>
      <w:r w:rsidR="00392CDE" w:rsidRPr="00117156">
        <w:rPr>
          <w:rFonts w:cs="Calibri"/>
          <w:color w:val="000000"/>
        </w:rPr>
        <w:t xml:space="preserve"> pre potenciálnych žiadateľov nenávratného finančného príspevku k </w:t>
      </w:r>
      <w:r w:rsidR="000E44CF">
        <w:rPr>
          <w:rFonts w:cs="Calibri"/>
          <w:color w:val="000000"/>
        </w:rPr>
        <w:t>09.02.2024</w:t>
      </w:r>
      <w:r w:rsidR="00392CDE" w:rsidRPr="00117156">
        <w:rPr>
          <w:rFonts w:cs="Calibri"/>
          <w:color w:val="000000"/>
        </w:rPr>
        <w:t xml:space="preserve"> finančné prostriedky vo výške </w:t>
      </w:r>
      <w:r w:rsidR="00392CDE" w:rsidRPr="00117156">
        <w:rPr>
          <w:rFonts w:cs="Calibri"/>
          <w:b/>
          <w:color w:val="000000"/>
        </w:rPr>
        <w:t>2</w:t>
      </w:r>
      <w:r w:rsidR="000E44CF">
        <w:rPr>
          <w:rFonts w:cs="Calibri"/>
          <w:b/>
          <w:color w:val="000000"/>
        </w:rPr>
        <w:t>3</w:t>
      </w:r>
      <w:r w:rsidR="00392CDE" w:rsidRPr="00117156">
        <w:rPr>
          <w:rFonts w:cs="Calibri"/>
          <w:b/>
          <w:color w:val="000000"/>
        </w:rPr>
        <w:t>,</w:t>
      </w:r>
      <w:r w:rsidR="000E44CF">
        <w:rPr>
          <w:rFonts w:cs="Calibri"/>
          <w:b/>
          <w:color w:val="000000"/>
        </w:rPr>
        <w:t>18</w:t>
      </w:r>
      <w:r w:rsidR="00392CDE" w:rsidRPr="00117156">
        <w:rPr>
          <w:rFonts w:cs="Calibri"/>
          <w:b/>
          <w:color w:val="000000"/>
        </w:rPr>
        <w:t xml:space="preserve"> mld. EUR</w:t>
      </w:r>
      <w:r w:rsidR="00392CDE" w:rsidRPr="00117156">
        <w:rPr>
          <w:rFonts w:cs="Calibri"/>
          <w:color w:val="000000"/>
        </w:rPr>
        <w:t xml:space="preserve">, čo predstavuje </w:t>
      </w:r>
      <w:r w:rsidR="00392CDE" w:rsidRPr="00117156">
        <w:rPr>
          <w:rFonts w:cs="Calibri"/>
          <w:b/>
          <w:color w:val="000000"/>
        </w:rPr>
        <w:t>1</w:t>
      </w:r>
      <w:r w:rsidR="000E44CF">
        <w:rPr>
          <w:rFonts w:cs="Calibri"/>
          <w:b/>
          <w:color w:val="000000"/>
        </w:rPr>
        <w:t>60,29</w:t>
      </w:r>
      <w:r w:rsidR="00392CDE" w:rsidRPr="00117156">
        <w:rPr>
          <w:rFonts w:cs="Calibri"/>
          <w:b/>
          <w:color w:val="000000"/>
        </w:rPr>
        <w:t xml:space="preserve"> %</w:t>
      </w:r>
      <w:r w:rsidR="00392CDE" w:rsidRPr="00117156">
        <w:rPr>
          <w:rFonts w:cs="Calibri"/>
          <w:color w:val="000000"/>
        </w:rPr>
        <w:t xml:space="preserve"> z celkovej alokácie (EÚ zdroj).</w:t>
      </w:r>
      <w:r w:rsidR="00392CDE" w:rsidRPr="00117156">
        <w:rPr>
          <w:rFonts w:cs="Calibri"/>
        </w:rPr>
        <w:t xml:space="preserve"> </w:t>
      </w:r>
    </w:p>
    <w:p w14:paraId="070087C7" w14:textId="29BA81DB" w:rsidR="007A43DD" w:rsidRPr="00117156" w:rsidRDefault="007A43DD" w:rsidP="004D28EC">
      <w:pPr>
        <w:numPr>
          <w:ilvl w:val="0"/>
          <w:numId w:val="6"/>
        </w:numPr>
        <w:spacing w:before="120" w:after="80" w:line="240" w:lineRule="auto"/>
        <w:ind w:left="714" w:hanging="357"/>
        <w:jc w:val="both"/>
        <w:rPr>
          <w:rFonts w:cs="Calibri"/>
          <w:b/>
          <w:color w:val="2F5496" w:themeColor="accent5" w:themeShade="BF"/>
        </w:rPr>
      </w:pPr>
      <w:r w:rsidRPr="00117156">
        <w:rPr>
          <w:rFonts w:cs="Calibri"/>
          <w:b/>
          <w:color w:val="2F5496" w:themeColor="accent5" w:themeShade="BF"/>
        </w:rPr>
        <w:t>Kontrahovanie</w:t>
      </w:r>
    </w:p>
    <w:p w14:paraId="19DA586C" w14:textId="4E1DAF81" w:rsidR="00C34293" w:rsidRPr="00117156" w:rsidRDefault="00C34293" w:rsidP="004D28EC">
      <w:pPr>
        <w:spacing w:before="120" w:after="80" w:line="240" w:lineRule="auto"/>
        <w:jc w:val="both"/>
        <w:rPr>
          <w:rFonts w:cs="Calibri"/>
        </w:rPr>
      </w:pPr>
      <w:r w:rsidRPr="00117156">
        <w:rPr>
          <w:rFonts w:cs="Calibri"/>
        </w:rPr>
        <w:t xml:space="preserve">Úroveň </w:t>
      </w:r>
      <w:r w:rsidRPr="00117156">
        <w:rPr>
          <w:rFonts w:cs="Calibri"/>
          <w:b/>
        </w:rPr>
        <w:t>kontrahovania</w:t>
      </w:r>
      <w:r w:rsidRPr="00117156">
        <w:rPr>
          <w:rFonts w:cs="Calibri"/>
        </w:rPr>
        <w:t xml:space="preserve"> všetkých fondov alokovaných pre SR (okrem EPFRV) v rámci programového obdobia 2014 – 2020 dosiahla </w:t>
      </w:r>
      <w:r w:rsidR="00392CDE" w:rsidRPr="00117156">
        <w:rPr>
          <w:rFonts w:cs="Calibri"/>
        </w:rPr>
        <w:t>k </w:t>
      </w:r>
      <w:r w:rsidR="000E44CF">
        <w:rPr>
          <w:rFonts w:cs="Calibri"/>
        </w:rPr>
        <w:t>09.02.2024</w:t>
      </w:r>
      <w:r w:rsidR="00392CDE" w:rsidRPr="00117156">
        <w:rPr>
          <w:rFonts w:cs="Calibri"/>
        </w:rPr>
        <w:t xml:space="preserve"> hodnotu </w:t>
      </w:r>
      <w:r w:rsidR="00392CDE" w:rsidRPr="00117156">
        <w:rPr>
          <w:rFonts w:cs="Calibri"/>
          <w:b/>
        </w:rPr>
        <w:t>1</w:t>
      </w:r>
      <w:r w:rsidR="000E44CF">
        <w:rPr>
          <w:rFonts w:cs="Calibri"/>
          <w:b/>
        </w:rPr>
        <w:t>6,31</w:t>
      </w:r>
      <w:r w:rsidR="00392CDE" w:rsidRPr="00117156">
        <w:rPr>
          <w:rFonts w:cs="Calibri"/>
          <w:b/>
        </w:rPr>
        <w:t xml:space="preserve"> mld. EUR</w:t>
      </w:r>
      <w:r w:rsidR="00392CDE" w:rsidRPr="00117156">
        <w:rPr>
          <w:rFonts w:cs="Calibri"/>
        </w:rPr>
        <w:t xml:space="preserve">, čo predstavuje </w:t>
      </w:r>
      <w:r w:rsidR="00392CDE" w:rsidRPr="00117156">
        <w:rPr>
          <w:rFonts w:cs="Calibri"/>
          <w:b/>
          <w:bCs/>
        </w:rPr>
        <w:t>1</w:t>
      </w:r>
      <w:r w:rsidR="00BE4554" w:rsidRPr="00117156">
        <w:rPr>
          <w:rFonts w:cs="Calibri"/>
          <w:b/>
          <w:bCs/>
        </w:rPr>
        <w:t>1</w:t>
      </w:r>
      <w:r w:rsidR="00EB5045">
        <w:rPr>
          <w:rFonts w:cs="Calibri"/>
          <w:b/>
          <w:bCs/>
        </w:rPr>
        <w:t>2</w:t>
      </w:r>
      <w:r w:rsidR="00BE4554" w:rsidRPr="00117156">
        <w:rPr>
          <w:rFonts w:cs="Calibri"/>
          <w:b/>
          <w:bCs/>
        </w:rPr>
        <w:t>,</w:t>
      </w:r>
      <w:r w:rsidR="00EB5045">
        <w:rPr>
          <w:rFonts w:cs="Calibri"/>
          <w:b/>
          <w:bCs/>
        </w:rPr>
        <w:t>50</w:t>
      </w:r>
      <w:r w:rsidR="00392CDE" w:rsidRPr="00117156">
        <w:rPr>
          <w:rFonts w:cs="Calibri"/>
          <w:b/>
          <w:bCs/>
        </w:rPr>
        <w:t xml:space="preserve"> </w:t>
      </w:r>
      <w:r w:rsidR="00392CDE" w:rsidRPr="00117156">
        <w:rPr>
          <w:rFonts w:cs="Calibri"/>
          <w:b/>
        </w:rPr>
        <w:t xml:space="preserve">% </w:t>
      </w:r>
      <w:r w:rsidRPr="00117156">
        <w:rPr>
          <w:rFonts w:cs="Calibri"/>
        </w:rPr>
        <w:t>z</w:t>
      </w:r>
      <w:r w:rsidR="001C2E8E">
        <w:rPr>
          <w:rFonts w:cs="Calibri"/>
        </w:rPr>
        <w:t> </w:t>
      </w:r>
      <w:r w:rsidRPr="00117156">
        <w:rPr>
          <w:rFonts w:cs="Calibri"/>
        </w:rPr>
        <w:t xml:space="preserve">celkovej alokácie (EÚ zdroj). </w:t>
      </w:r>
    </w:p>
    <w:p w14:paraId="0AFF3678" w14:textId="77777777" w:rsidR="007A43DD" w:rsidRPr="00117156" w:rsidRDefault="007A43DD" w:rsidP="004D28EC">
      <w:pPr>
        <w:numPr>
          <w:ilvl w:val="0"/>
          <w:numId w:val="6"/>
        </w:numPr>
        <w:spacing w:before="120" w:after="80" w:line="240" w:lineRule="auto"/>
        <w:ind w:left="714" w:hanging="357"/>
        <w:jc w:val="both"/>
        <w:rPr>
          <w:rFonts w:cs="Calibri"/>
          <w:b/>
          <w:color w:val="2F5496" w:themeColor="accent5" w:themeShade="BF"/>
        </w:rPr>
      </w:pPr>
      <w:r w:rsidRPr="00117156">
        <w:rPr>
          <w:rFonts w:cs="Calibri"/>
          <w:b/>
          <w:color w:val="2F5496" w:themeColor="accent5" w:themeShade="BF"/>
        </w:rPr>
        <w:t>Čerpanie</w:t>
      </w:r>
    </w:p>
    <w:p w14:paraId="174D0F5C" w14:textId="555AAE67" w:rsidR="00C34293" w:rsidRPr="00117156" w:rsidRDefault="00392CDE" w:rsidP="004D28EC">
      <w:pPr>
        <w:suppressAutoHyphens w:val="0"/>
        <w:spacing w:before="120" w:after="120" w:line="240" w:lineRule="auto"/>
        <w:jc w:val="both"/>
        <w:rPr>
          <w:rFonts w:cs="Calibri"/>
        </w:rPr>
      </w:pPr>
      <w:r w:rsidRPr="00117156">
        <w:rPr>
          <w:rFonts w:cs="Calibri"/>
        </w:rPr>
        <w:t>K </w:t>
      </w:r>
      <w:r w:rsidR="00EB5045">
        <w:rPr>
          <w:rFonts w:cs="Calibri"/>
        </w:rPr>
        <w:t>09.02.2024</w:t>
      </w:r>
      <w:r w:rsidRPr="00117156">
        <w:rPr>
          <w:rFonts w:cs="Calibri"/>
        </w:rPr>
        <w:t xml:space="preserve"> dosiahla SR za všetky fondy (okrem EPFRV) alokované pre programové obdobie 2014 – 2020 čerpanie na národnej úrovni </w:t>
      </w:r>
      <w:r w:rsidRPr="00117156">
        <w:rPr>
          <w:rFonts w:cs="Calibri"/>
          <w:b/>
        </w:rPr>
        <w:t>1</w:t>
      </w:r>
      <w:r w:rsidR="00EB5045">
        <w:rPr>
          <w:rFonts w:cs="Calibri"/>
          <w:b/>
        </w:rPr>
        <w:t>3,42</w:t>
      </w:r>
      <w:r w:rsidRPr="00117156">
        <w:rPr>
          <w:rFonts w:cs="Calibri"/>
          <w:b/>
        </w:rPr>
        <w:t xml:space="preserve"> mld. EUR</w:t>
      </w:r>
      <w:r w:rsidRPr="00117156">
        <w:rPr>
          <w:rFonts w:cs="Calibri"/>
        </w:rPr>
        <w:t xml:space="preserve">, čo predstavuje </w:t>
      </w:r>
      <w:r w:rsidR="00EB5045">
        <w:rPr>
          <w:rFonts w:cs="Calibri"/>
          <w:b/>
        </w:rPr>
        <w:t>92,52</w:t>
      </w:r>
      <w:r w:rsidRPr="00117156">
        <w:rPr>
          <w:rFonts w:cs="Calibri"/>
          <w:b/>
        </w:rPr>
        <w:t xml:space="preserve"> % </w:t>
      </w:r>
      <w:r w:rsidR="00C34293" w:rsidRPr="00117156">
        <w:rPr>
          <w:rFonts w:cs="Calibri"/>
        </w:rPr>
        <w:t xml:space="preserve">z celkovej alokácie (EÚ zdroj). </w:t>
      </w:r>
    </w:p>
    <w:p w14:paraId="38DDD92D" w14:textId="4E86172E" w:rsidR="00327ADA" w:rsidRPr="00117156" w:rsidRDefault="001D6084" w:rsidP="004D28EC">
      <w:pPr>
        <w:suppressAutoHyphens w:val="0"/>
        <w:spacing w:before="120" w:after="120" w:line="240" w:lineRule="auto"/>
        <w:jc w:val="both"/>
        <w:rPr>
          <w:rStyle w:val="Zstupntext"/>
          <w:rFonts w:ascii="Calibri" w:hAnsi="Calibri" w:cs="Calibri"/>
          <w:b/>
          <w:color w:val="auto"/>
        </w:rPr>
      </w:pPr>
      <w:r w:rsidRPr="00117156">
        <w:rPr>
          <w:rFonts w:eastAsiaTheme="minorHAnsi" w:cs="Calibri"/>
          <w:b/>
          <w:color w:val="C00000"/>
          <w:lang w:eastAsia="en-US"/>
        </w:rPr>
        <w:t>Do konca programového obdobia je ešte potrebné vyčerpať</w:t>
      </w:r>
      <w:r w:rsidRPr="00117156">
        <w:rPr>
          <w:rFonts w:eastAsiaTheme="minorHAnsi" w:cs="Calibri"/>
          <w:color w:val="C00000"/>
          <w:lang w:eastAsia="en-US"/>
        </w:rPr>
        <w:t xml:space="preserve"> </w:t>
      </w:r>
      <w:r w:rsidR="00A90881">
        <w:rPr>
          <w:rFonts w:eastAsiaTheme="minorHAnsi" w:cs="Calibri"/>
          <w:b/>
          <w:color w:val="C00000"/>
          <w:lang w:eastAsia="en-US"/>
        </w:rPr>
        <w:t>1,</w:t>
      </w:r>
      <w:r w:rsidR="00EB5045">
        <w:rPr>
          <w:rFonts w:eastAsiaTheme="minorHAnsi" w:cs="Calibri"/>
          <w:b/>
          <w:color w:val="C00000"/>
          <w:lang w:eastAsia="en-US"/>
        </w:rPr>
        <w:t>08</w:t>
      </w:r>
      <w:r w:rsidRPr="00117156">
        <w:rPr>
          <w:rFonts w:eastAsiaTheme="minorHAnsi" w:cs="Calibri"/>
          <w:b/>
          <w:color w:val="C00000"/>
          <w:lang w:eastAsia="en-US"/>
        </w:rPr>
        <w:t xml:space="preserve"> mld. EUR</w:t>
      </w:r>
      <w:r w:rsidR="00DB6A6D" w:rsidRPr="00117156">
        <w:rPr>
          <w:rFonts w:eastAsiaTheme="minorHAnsi" w:cs="Calibri"/>
          <w:b/>
          <w:color w:val="C00000"/>
          <w:lang w:eastAsia="en-US"/>
        </w:rPr>
        <w:t>.</w:t>
      </w:r>
      <w:r w:rsidR="00850AB9" w:rsidRPr="00117156">
        <w:rPr>
          <w:rFonts w:eastAsiaTheme="minorHAnsi" w:cs="Calibri"/>
          <w:lang w:eastAsia="en-US"/>
        </w:rPr>
        <w:t xml:space="preserve"> </w:t>
      </w:r>
      <w:r w:rsidRPr="00117156">
        <w:rPr>
          <w:rFonts w:eastAsiaTheme="minorHAnsi" w:cs="Calibri"/>
          <w:lang w:eastAsia="en-US"/>
        </w:rPr>
        <w:t>Čerpanie je možné až do</w:t>
      </w:r>
      <w:r w:rsidR="001C2E8E">
        <w:rPr>
          <w:rFonts w:eastAsiaTheme="minorHAnsi" w:cs="Calibri"/>
          <w:lang w:eastAsia="en-US"/>
        </w:rPr>
        <w:t> </w:t>
      </w:r>
      <w:r w:rsidR="00114734">
        <w:rPr>
          <w:rFonts w:eastAsiaTheme="minorHAnsi" w:cs="Calibri"/>
          <w:lang w:eastAsia="en-US"/>
        </w:rPr>
        <w:t xml:space="preserve">apríla – mája </w:t>
      </w:r>
      <w:r w:rsidRPr="00117156">
        <w:rPr>
          <w:rFonts w:eastAsiaTheme="minorHAnsi" w:cs="Calibri"/>
          <w:lang w:eastAsia="en-US"/>
        </w:rPr>
        <w:t xml:space="preserve">2024 z dôvodu finančného vysporiadania a zaslania </w:t>
      </w:r>
      <w:r w:rsidR="00F83FF7" w:rsidRPr="00117156">
        <w:rPr>
          <w:rFonts w:eastAsiaTheme="minorHAnsi" w:cs="Calibri"/>
          <w:lang w:eastAsia="en-US"/>
        </w:rPr>
        <w:t>posledných</w:t>
      </w:r>
      <w:r w:rsidRPr="00117156">
        <w:rPr>
          <w:rFonts w:eastAsiaTheme="minorHAnsi" w:cs="Calibri"/>
          <w:lang w:eastAsia="en-US"/>
        </w:rPr>
        <w:t xml:space="preserve"> súhrnných žiadostí o platbu z </w:t>
      </w:r>
      <w:r w:rsidR="0090472B" w:rsidRPr="00117156">
        <w:rPr>
          <w:rFonts w:eastAsiaTheme="minorHAnsi" w:cs="Calibri"/>
          <w:lang w:eastAsia="en-US"/>
        </w:rPr>
        <w:t>RO</w:t>
      </w:r>
      <w:r w:rsidRPr="00117156">
        <w:rPr>
          <w:rFonts w:eastAsiaTheme="minorHAnsi" w:cs="Calibri"/>
          <w:lang w:eastAsia="en-US"/>
        </w:rPr>
        <w:t xml:space="preserve"> na MF SR</w:t>
      </w:r>
      <w:r w:rsidR="00DB6A6D" w:rsidRPr="00117156">
        <w:rPr>
          <w:rStyle w:val="Zstupntext"/>
          <w:rFonts w:ascii="Calibri" w:hAnsi="Calibri" w:cs="Calibri"/>
          <w:b/>
          <w:color w:val="auto"/>
        </w:rPr>
        <w:t>.</w:t>
      </w:r>
    </w:p>
    <w:p w14:paraId="627547E7" w14:textId="77777777" w:rsidR="003B0F64" w:rsidRPr="00117156" w:rsidRDefault="003B0F64" w:rsidP="004D28EC">
      <w:pPr>
        <w:suppressAutoHyphens w:val="0"/>
        <w:spacing w:before="120" w:after="120" w:line="240" w:lineRule="auto"/>
        <w:jc w:val="both"/>
        <w:rPr>
          <w:rFonts w:cs="Calibri"/>
          <w:b/>
          <w:u w:val="single"/>
        </w:rPr>
      </w:pPr>
    </w:p>
    <w:p w14:paraId="66FE9EFC" w14:textId="099FD3BC" w:rsidR="001D6084" w:rsidRPr="00117156" w:rsidRDefault="001D6084" w:rsidP="004D28EC">
      <w:pPr>
        <w:keepNext/>
        <w:spacing w:line="240" w:lineRule="auto"/>
        <w:jc w:val="both"/>
        <w:rPr>
          <w:rFonts w:cs="Calibri"/>
          <w:b/>
        </w:rPr>
      </w:pPr>
      <w:r w:rsidRPr="008F7D2B">
        <w:rPr>
          <w:rFonts w:cs="Calibri"/>
          <w:b/>
        </w:rPr>
        <w:t xml:space="preserve">Tabuľka č. </w:t>
      </w:r>
      <w:r w:rsidR="00C67B8E" w:rsidRPr="008F7D2B">
        <w:rPr>
          <w:rFonts w:cs="Calibri"/>
          <w:b/>
        </w:rPr>
        <w:t>3</w:t>
      </w:r>
      <w:r w:rsidRPr="008F7D2B">
        <w:rPr>
          <w:rFonts w:cs="Calibri"/>
          <w:b/>
        </w:rPr>
        <w:t>: Stav implementácie jednotlivých OP k </w:t>
      </w:r>
      <w:r w:rsidR="00EB5045" w:rsidRPr="008F7D2B">
        <w:rPr>
          <w:rFonts w:cs="Calibri"/>
          <w:b/>
        </w:rPr>
        <w:t>09</w:t>
      </w:r>
      <w:r w:rsidRPr="008F7D2B">
        <w:rPr>
          <w:rFonts w:cs="Calibri"/>
          <w:b/>
        </w:rPr>
        <w:t>.</w:t>
      </w:r>
      <w:r w:rsidR="00EB5045" w:rsidRPr="008F7D2B">
        <w:rPr>
          <w:rFonts w:cs="Calibri"/>
          <w:b/>
        </w:rPr>
        <w:t>02</w:t>
      </w:r>
      <w:r w:rsidRPr="008F7D2B">
        <w:rPr>
          <w:rFonts w:cs="Calibri"/>
          <w:b/>
        </w:rPr>
        <w:t>.202</w:t>
      </w:r>
      <w:r w:rsidR="00EB5045" w:rsidRPr="008F7D2B">
        <w:rPr>
          <w:rFonts w:cs="Calibri"/>
          <w:b/>
        </w:rPr>
        <w:t>4</w:t>
      </w:r>
      <w:r w:rsidR="00CC1CC9" w:rsidRPr="00117156">
        <w:rPr>
          <w:rFonts w:cs="Calibri"/>
          <w:b/>
        </w:rPr>
        <w:t xml:space="preserve"> </w:t>
      </w:r>
    </w:p>
    <w:p w14:paraId="577B8E48" w14:textId="36249A6B" w:rsidR="00C6391A" w:rsidRPr="00117156" w:rsidRDefault="00C6391A" w:rsidP="004D28EC">
      <w:pPr>
        <w:keepNext/>
        <w:spacing w:line="240" w:lineRule="auto"/>
        <w:jc w:val="both"/>
        <w:rPr>
          <w:rFonts w:cs="Calibri"/>
          <w:b/>
        </w:rPr>
      </w:pPr>
      <w:r w:rsidRPr="00C6391A">
        <w:rPr>
          <w:noProof/>
          <w:lang w:eastAsia="sk-SK"/>
        </w:rPr>
        <w:drawing>
          <wp:inline distT="0" distB="0" distL="0" distR="0" wp14:anchorId="2B4BE3E7" wp14:editId="4AD4EB20">
            <wp:extent cx="6155690" cy="2553775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770" cy="2562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6BB1" w14:textId="4F9CDA22" w:rsidR="00517201" w:rsidRPr="00B42122" w:rsidRDefault="001D6084" w:rsidP="004D28EC">
      <w:pPr>
        <w:spacing w:line="240" w:lineRule="auto"/>
        <w:rPr>
          <w:rFonts w:cs="Calibri"/>
          <w:i/>
          <w:sz w:val="18"/>
          <w:szCs w:val="18"/>
        </w:rPr>
      </w:pPr>
      <w:r w:rsidRPr="00B42122">
        <w:rPr>
          <w:rFonts w:cs="Calibri"/>
          <w:i/>
          <w:sz w:val="18"/>
          <w:szCs w:val="18"/>
        </w:rPr>
        <w:t>Zdroj údajov: ITMS 2014+, Cer</w:t>
      </w:r>
      <w:r w:rsidR="00C27E77" w:rsidRPr="00B42122">
        <w:rPr>
          <w:rFonts w:cs="Calibri"/>
          <w:i/>
          <w:sz w:val="18"/>
          <w:szCs w:val="18"/>
        </w:rPr>
        <w:t>tifikačný orgán (MF SR)</w:t>
      </w:r>
    </w:p>
    <w:p w14:paraId="27F3BCC4" w14:textId="59C0B3E7" w:rsidR="00C97576" w:rsidRPr="00117156" w:rsidRDefault="00C97576" w:rsidP="004D28EC">
      <w:pPr>
        <w:spacing w:line="240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14:paraId="051A885C" w14:textId="6D785CDC" w:rsidR="00114734" w:rsidRDefault="00114734" w:rsidP="004D28EC">
      <w:pPr>
        <w:suppressAutoHyphens w:val="0"/>
        <w:spacing w:after="160" w:line="240" w:lineRule="auto"/>
        <w:rPr>
          <w:rFonts w:cs="Calibri"/>
          <w:b/>
          <w:color w:val="2F5496" w:themeColor="accent5" w:themeShade="BF"/>
          <w:sz w:val="24"/>
          <w:szCs w:val="24"/>
        </w:rPr>
      </w:pPr>
      <w:r>
        <w:rPr>
          <w:rFonts w:cs="Calibri"/>
          <w:b/>
          <w:color w:val="2F5496" w:themeColor="accent5" w:themeShade="BF"/>
          <w:sz w:val="24"/>
          <w:szCs w:val="24"/>
        </w:rPr>
        <w:br w:type="page"/>
      </w:r>
    </w:p>
    <w:p w14:paraId="08CF75A0" w14:textId="5A8A92DB" w:rsidR="004440BD" w:rsidRPr="00117156" w:rsidRDefault="004440BD" w:rsidP="004D28EC">
      <w:pPr>
        <w:pStyle w:val="Nadpis2"/>
        <w:keepNext w:val="0"/>
        <w:keepLines w:val="0"/>
        <w:numPr>
          <w:ilvl w:val="1"/>
          <w:numId w:val="1"/>
        </w:numPr>
        <w:suppressAutoHyphens w:val="0"/>
        <w:spacing w:before="0" w:after="120" w:line="240" w:lineRule="auto"/>
        <w:ind w:left="709" w:hanging="567"/>
        <w:contextualSpacing/>
        <w:jc w:val="both"/>
        <w:rPr>
          <w:rFonts w:ascii="Calibri" w:eastAsia="Times New Roman" w:hAnsi="Calibri" w:cs="Calibri"/>
          <w:b/>
          <w:color w:val="0055A1"/>
        </w:rPr>
      </w:pPr>
      <w:bookmarkStart w:id="5" w:name="_Toc158989287"/>
      <w:r w:rsidRPr="00117156">
        <w:rPr>
          <w:rFonts w:ascii="Calibri" w:eastAsia="Times New Roman" w:hAnsi="Calibri" w:cs="Calibri"/>
          <w:b/>
          <w:color w:val="0055A1"/>
        </w:rPr>
        <w:lastRenderedPageBreak/>
        <w:t>Porovnanie</w:t>
      </w:r>
      <w:r w:rsidR="004F08ED" w:rsidRPr="00117156">
        <w:rPr>
          <w:rFonts w:ascii="Calibri" w:eastAsia="Times New Roman" w:hAnsi="Calibri" w:cs="Calibri"/>
          <w:b/>
          <w:color w:val="0055A1"/>
        </w:rPr>
        <w:t xml:space="preserve"> stavu a</w:t>
      </w:r>
      <w:r w:rsidR="001C2E8E">
        <w:rPr>
          <w:rFonts w:ascii="Calibri" w:eastAsia="Times New Roman" w:hAnsi="Calibri" w:cs="Calibri"/>
          <w:b/>
          <w:color w:val="0055A1"/>
        </w:rPr>
        <w:t xml:space="preserve"> </w:t>
      </w:r>
      <w:r w:rsidR="004F08ED" w:rsidRPr="00117156">
        <w:rPr>
          <w:rFonts w:ascii="Calibri" w:eastAsia="Times New Roman" w:hAnsi="Calibri" w:cs="Calibri"/>
          <w:b/>
          <w:color w:val="0055A1"/>
        </w:rPr>
        <w:t>zostatkov čerpania k</w:t>
      </w:r>
      <w:r w:rsidR="001C2E8E">
        <w:rPr>
          <w:rFonts w:ascii="Calibri" w:eastAsia="Times New Roman" w:hAnsi="Calibri" w:cs="Calibri"/>
          <w:b/>
          <w:color w:val="0055A1"/>
        </w:rPr>
        <w:t xml:space="preserve"> </w:t>
      </w:r>
      <w:r w:rsidR="00EB5045">
        <w:rPr>
          <w:rFonts w:ascii="Calibri" w:eastAsia="Times New Roman" w:hAnsi="Calibri" w:cs="Calibri"/>
          <w:b/>
          <w:color w:val="0055A1"/>
        </w:rPr>
        <w:t>09</w:t>
      </w:r>
      <w:r w:rsidR="004F08ED" w:rsidRPr="00117156">
        <w:rPr>
          <w:rFonts w:ascii="Calibri" w:eastAsia="Times New Roman" w:hAnsi="Calibri" w:cs="Calibri"/>
          <w:b/>
          <w:color w:val="0055A1"/>
        </w:rPr>
        <w:t>.</w:t>
      </w:r>
      <w:r w:rsidR="00EB5045">
        <w:rPr>
          <w:rFonts w:ascii="Calibri" w:eastAsia="Times New Roman" w:hAnsi="Calibri" w:cs="Calibri"/>
          <w:b/>
          <w:color w:val="0055A1"/>
        </w:rPr>
        <w:t>02</w:t>
      </w:r>
      <w:r w:rsidRPr="00117156">
        <w:rPr>
          <w:rFonts w:ascii="Calibri" w:eastAsia="Times New Roman" w:hAnsi="Calibri" w:cs="Calibri"/>
          <w:b/>
          <w:color w:val="0055A1"/>
        </w:rPr>
        <w:t>.202</w:t>
      </w:r>
      <w:r w:rsidR="00EB5045">
        <w:rPr>
          <w:rFonts w:ascii="Calibri" w:eastAsia="Times New Roman" w:hAnsi="Calibri" w:cs="Calibri"/>
          <w:b/>
          <w:color w:val="0055A1"/>
        </w:rPr>
        <w:t>4</w:t>
      </w:r>
      <w:r w:rsidRPr="00117156">
        <w:rPr>
          <w:rFonts w:ascii="Calibri" w:eastAsia="Times New Roman" w:hAnsi="Calibri" w:cs="Calibri"/>
          <w:b/>
          <w:color w:val="0055A1"/>
        </w:rPr>
        <w:t xml:space="preserve"> podľa jednotlivých OP</w:t>
      </w:r>
      <w:bookmarkEnd w:id="5"/>
    </w:p>
    <w:p w14:paraId="5AD62727" w14:textId="77777777" w:rsidR="001E3850" w:rsidRPr="00117156" w:rsidRDefault="001E3850" w:rsidP="004D28EC">
      <w:pPr>
        <w:spacing w:line="240" w:lineRule="auto"/>
        <w:rPr>
          <w:rFonts w:cs="Calibri"/>
          <w:b/>
          <w:color w:val="2F5496" w:themeColor="accent5" w:themeShade="BF"/>
          <w:sz w:val="24"/>
          <w:szCs w:val="24"/>
        </w:rPr>
      </w:pPr>
    </w:p>
    <w:p w14:paraId="62CB5F8C" w14:textId="0A05DD19" w:rsidR="004440BD" w:rsidRPr="00117156" w:rsidRDefault="004440BD" w:rsidP="004D28EC">
      <w:pPr>
        <w:keepNext/>
        <w:spacing w:line="240" w:lineRule="auto"/>
        <w:rPr>
          <w:rFonts w:cs="Calibri"/>
          <w:b/>
        </w:rPr>
      </w:pPr>
      <w:r w:rsidRPr="00117156">
        <w:rPr>
          <w:rFonts w:cs="Calibri"/>
          <w:b/>
        </w:rPr>
        <w:t>Graf č.</w:t>
      </w:r>
      <w:r w:rsidR="004D28EC">
        <w:rPr>
          <w:rFonts w:cs="Calibri"/>
          <w:b/>
        </w:rPr>
        <w:t xml:space="preserve"> </w:t>
      </w:r>
      <w:r w:rsidR="00734CB0">
        <w:rPr>
          <w:rFonts w:cs="Calibri"/>
          <w:b/>
        </w:rPr>
        <w:t>1</w:t>
      </w:r>
      <w:r w:rsidR="00AC0369" w:rsidRPr="00117156">
        <w:rPr>
          <w:rFonts w:cs="Calibri"/>
          <w:b/>
        </w:rPr>
        <w:t>:</w:t>
      </w:r>
      <w:r w:rsidRPr="00117156">
        <w:rPr>
          <w:rFonts w:cs="Calibri"/>
          <w:b/>
        </w:rPr>
        <w:t xml:space="preserve"> Stav čerpania podľa OP</w:t>
      </w:r>
      <w:r w:rsidR="00AC0369" w:rsidRPr="00117156">
        <w:rPr>
          <w:rFonts w:cs="Calibri"/>
          <w:b/>
        </w:rPr>
        <w:t xml:space="preserve"> k </w:t>
      </w:r>
      <w:r w:rsidR="00EB5045">
        <w:rPr>
          <w:rFonts w:cs="Calibri"/>
          <w:b/>
        </w:rPr>
        <w:t>09</w:t>
      </w:r>
      <w:r w:rsidR="00AC0369" w:rsidRPr="00117156">
        <w:rPr>
          <w:rFonts w:cs="Calibri"/>
          <w:b/>
        </w:rPr>
        <w:t>.</w:t>
      </w:r>
      <w:r w:rsidR="00EB5045">
        <w:rPr>
          <w:rFonts w:cs="Calibri"/>
          <w:b/>
        </w:rPr>
        <w:t>02</w:t>
      </w:r>
      <w:r w:rsidR="00AC0369" w:rsidRPr="00117156">
        <w:rPr>
          <w:rFonts w:cs="Calibri"/>
          <w:b/>
        </w:rPr>
        <w:t>.202</w:t>
      </w:r>
      <w:r w:rsidR="00EB5045">
        <w:rPr>
          <w:rFonts w:cs="Calibri"/>
          <w:b/>
        </w:rPr>
        <w:t>4</w:t>
      </w:r>
    </w:p>
    <w:p w14:paraId="4055544B" w14:textId="4B0A5283" w:rsidR="00EB5045" w:rsidRPr="00117156" w:rsidRDefault="00EB5045" w:rsidP="004D28EC">
      <w:pPr>
        <w:keepNext/>
        <w:spacing w:line="240" w:lineRule="auto"/>
        <w:rPr>
          <w:rFonts w:cs="Calibri"/>
          <w:b/>
        </w:rPr>
      </w:pPr>
      <w:r>
        <w:rPr>
          <w:rFonts w:cs="Calibri"/>
          <w:b/>
          <w:noProof/>
          <w:lang w:eastAsia="sk-SK"/>
        </w:rPr>
        <w:drawing>
          <wp:inline distT="0" distB="0" distL="0" distR="0" wp14:anchorId="2401C461" wp14:editId="6930FD2A">
            <wp:extent cx="5978962" cy="3296019"/>
            <wp:effectExtent l="0" t="0" r="317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277" cy="3310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A787C" w14:textId="77777777" w:rsidR="00233816" w:rsidRPr="00117156" w:rsidRDefault="00233816" w:rsidP="004D28EC">
      <w:pPr>
        <w:suppressAutoHyphens w:val="0"/>
        <w:spacing w:line="240" w:lineRule="auto"/>
        <w:jc w:val="both"/>
        <w:rPr>
          <w:rFonts w:cs="Calibri"/>
          <w:i/>
          <w:sz w:val="18"/>
          <w:szCs w:val="18"/>
        </w:rPr>
      </w:pPr>
      <w:r w:rsidRPr="00117156">
        <w:rPr>
          <w:rFonts w:cs="Calibri"/>
          <w:i/>
          <w:sz w:val="18"/>
          <w:szCs w:val="18"/>
        </w:rPr>
        <w:t>Zdroj údajov: Certifikačný orgán (MF SR)</w:t>
      </w:r>
    </w:p>
    <w:p w14:paraId="012C7C65" w14:textId="11C40D6C" w:rsidR="0034034E" w:rsidRDefault="0034034E" w:rsidP="004D28EC">
      <w:pPr>
        <w:spacing w:line="240" w:lineRule="auto"/>
        <w:rPr>
          <w:rFonts w:cs="Calibri"/>
          <w:b/>
        </w:rPr>
      </w:pPr>
    </w:p>
    <w:p w14:paraId="2943ACF2" w14:textId="77777777" w:rsidR="0034034E" w:rsidRPr="00117156" w:rsidRDefault="0034034E" w:rsidP="004D28EC">
      <w:pPr>
        <w:spacing w:line="240" w:lineRule="auto"/>
        <w:rPr>
          <w:rFonts w:cs="Calibri"/>
          <w:b/>
        </w:rPr>
      </w:pPr>
    </w:p>
    <w:p w14:paraId="3BC88B53" w14:textId="2E40F1DE" w:rsidR="00AC0369" w:rsidRPr="00117156" w:rsidRDefault="00AC0369" w:rsidP="004D28EC">
      <w:pPr>
        <w:spacing w:before="120" w:line="240" w:lineRule="auto"/>
        <w:rPr>
          <w:rFonts w:cs="Calibri"/>
          <w:b/>
        </w:rPr>
      </w:pPr>
      <w:r w:rsidRPr="00117156">
        <w:rPr>
          <w:rFonts w:cs="Calibri"/>
          <w:b/>
        </w:rPr>
        <w:t>Graf č.</w:t>
      </w:r>
      <w:r w:rsidR="004D28EC">
        <w:rPr>
          <w:rFonts w:cs="Calibri"/>
          <w:b/>
        </w:rPr>
        <w:t xml:space="preserve"> </w:t>
      </w:r>
      <w:r w:rsidR="00734CB0">
        <w:rPr>
          <w:rFonts w:cs="Calibri"/>
          <w:b/>
        </w:rPr>
        <w:t>2</w:t>
      </w:r>
      <w:r w:rsidRPr="00117156">
        <w:rPr>
          <w:rFonts w:cs="Calibri"/>
          <w:b/>
        </w:rPr>
        <w:t>: Zostáva vyčerpať</w:t>
      </w:r>
      <w:r w:rsidR="000F7BEF" w:rsidRPr="00117156">
        <w:rPr>
          <w:rFonts w:cs="Calibri"/>
          <w:b/>
        </w:rPr>
        <w:t xml:space="preserve"> do konca programového obdobia</w:t>
      </w:r>
      <w:r w:rsidRPr="00117156">
        <w:rPr>
          <w:rFonts w:cs="Calibri"/>
          <w:b/>
        </w:rPr>
        <w:t xml:space="preserve"> podľa OP k </w:t>
      </w:r>
      <w:r w:rsidR="00EB5045">
        <w:rPr>
          <w:rFonts w:cs="Calibri"/>
          <w:b/>
        </w:rPr>
        <w:t>09</w:t>
      </w:r>
      <w:r w:rsidRPr="00117156">
        <w:rPr>
          <w:rFonts w:cs="Calibri"/>
          <w:b/>
        </w:rPr>
        <w:t>.</w:t>
      </w:r>
      <w:r w:rsidR="00EB5045">
        <w:rPr>
          <w:rFonts w:cs="Calibri"/>
          <w:b/>
        </w:rPr>
        <w:t>02</w:t>
      </w:r>
      <w:r w:rsidRPr="00117156">
        <w:rPr>
          <w:rFonts w:cs="Calibri"/>
          <w:b/>
        </w:rPr>
        <w:t>.202</w:t>
      </w:r>
      <w:r w:rsidR="00EB5045">
        <w:rPr>
          <w:rFonts w:cs="Calibri"/>
          <w:b/>
        </w:rPr>
        <w:t>4</w:t>
      </w:r>
      <w:r w:rsidR="001B537C" w:rsidRPr="00117156">
        <w:rPr>
          <w:rFonts w:cs="Calibri"/>
          <w:b/>
        </w:rPr>
        <w:t xml:space="preserve"> (vrátane SAFE)</w:t>
      </w:r>
    </w:p>
    <w:p w14:paraId="1109AFC0" w14:textId="0011CB76" w:rsidR="00EB5045" w:rsidRPr="00117156" w:rsidRDefault="00EB5045" w:rsidP="004D28EC">
      <w:pPr>
        <w:spacing w:line="240" w:lineRule="auto"/>
        <w:rPr>
          <w:rFonts w:cs="Calibri"/>
        </w:rPr>
      </w:pPr>
      <w:r>
        <w:rPr>
          <w:rFonts w:cs="Calibri"/>
          <w:noProof/>
          <w:lang w:eastAsia="sk-SK"/>
        </w:rPr>
        <w:drawing>
          <wp:inline distT="0" distB="0" distL="0" distR="0" wp14:anchorId="3C716338" wp14:editId="20D14A82">
            <wp:extent cx="5978525" cy="2501465"/>
            <wp:effectExtent l="0" t="0" r="3175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49" cy="25125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F13529" w14:textId="4E464D20" w:rsidR="00233816" w:rsidRPr="00117156" w:rsidRDefault="00233816" w:rsidP="004D28EC">
      <w:pPr>
        <w:suppressAutoHyphens w:val="0"/>
        <w:spacing w:line="240" w:lineRule="auto"/>
        <w:jc w:val="both"/>
        <w:rPr>
          <w:rFonts w:cs="Calibri"/>
          <w:i/>
          <w:sz w:val="18"/>
          <w:szCs w:val="18"/>
        </w:rPr>
      </w:pPr>
      <w:r w:rsidRPr="00117156">
        <w:rPr>
          <w:rFonts w:cs="Calibri"/>
          <w:i/>
          <w:sz w:val="18"/>
          <w:szCs w:val="18"/>
        </w:rPr>
        <w:t>Zdroj údajov: Certifikačný orgán (MF SR)</w:t>
      </w:r>
    </w:p>
    <w:p w14:paraId="10DC9587" w14:textId="77777777" w:rsidR="00754CBB" w:rsidRPr="00117156" w:rsidRDefault="00754CBB" w:rsidP="004D28EC">
      <w:pPr>
        <w:spacing w:line="240" w:lineRule="auto"/>
        <w:rPr>
          <w:rFonts w:cs="Calibri"/>
        </w:rPr>
      </w:pPr>
    </w:p>
    <w:p w14:paraId="67977217" w14:textId="24A5A662" w:rsidR="00AC0369" w:rsidRPr="00117156" w:rsidRDefault="00AC0369" w:rsidP="004D28EC">
      <w:pPr>
        <w:spacing w:line="240" w:lineRule="auto"/>
        <w:rPr>
          <w:rFonts w:cs="Calibri"/>
        </w:rPr>
      </w:pPr>
      <w:r w:rsidRPr="00117156">
        <w:rPr>
          <w:rFonts w:cs="Calibri"/>
        </w:rPr>
        <w:t>Do konca programového obdobia (najneskôr do marca 2024) zostáva vyčerpať ešte</w:t>
      </w:r>
      <w:r w:rsidRPr="00117156">
        <w:rPr>
          <w:rFonts w:cs="Calibri"/>
          <w:b/>
        </w:rPr>
        <w:t xml:space="preserve"> </w:t>
      </w:r>
      <w:r w:rsidR="00722EF2">
        <w:rPr>
          <w:rFonts w:cs="Calibri"/>
          <w:b/>
        </w:rPr>
        <w:t>1,</w:t>
      </w:r>
      <w:r w:rsidR="003C4F4D">
        <w:rPr>
          <w:rFonts w:cs="Calibri"/>
          <w:b/>
        </w:rPr>
        <w:t>08</w:t>
      </w:r>
      <w:r w:rsidRPr="00117156">
        <w:rPr>
          <w:rFonts w:cs="Calibri"/>
          <w:b/>
        </w:rPr>
        <w:t xml:space="preserve"> mld. EUR </w:t>
      </w:r>
    </w:p>
    <w:p w14:paraId="65E6C331" w14:textId="41285DBB" w:rsidR="0053285B" w:rsidRPr="00117156" w:rsidRDefault="00C67B8E" w:rsidP="004D28EC">
      <w:pPr>
        <w:spacing w:before="120" w:after="12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Najvyššie objemy na vyčerpanie </w:t>
      </w:r>
      <w:r w:rsidRPr="00117156">
        <w:rPr>
          <w:rFonts w:cs="Calibri"/>
          <w:b/>
        </w:rPr>
        <w:t>zostáva</w:t>
      </w:r>
      <w:r>
        <w:rPr>
          <w:rFonts w:cs="Calibri"/>
          <w:b/>
        </w:rPr>
        <w:t>jú</w:t>
      </w:r>
      <w:r w:rsidRPr="00117156">
        <w:rPr>
          <w:rFonts w:cs="Calibri"/>
          <w:b/>
        </w:rPr>
        <w:t xml:space="preserve"> za</w:t>
      </w:r>
      <w:r w:rsidR="0053285B" w:rsidRPr="00117156">
        <w:rPr>
          <w:rFonts w:cs="Calibri"/>
          <w:b/>
        </w:rPr>
        <w:t>:</w:t>
      </w:r>
    </w:p>
    <w:p w14:paraId="5E8DA33E" w14:textId="2891FE10" w:rsidR="00AC7B52" w:rsidRPr="00117156" w:rsidRDefault="00AC7B52" w:rsidP="004D28EC">
      <w:pPr>
        <w:pStyle w:val="Odsekzoznamu"/>
        <w:numPr>
          <w:ilvl w:val="0"/>
          <w:numId w:val="8"/>
        </w:numPr>
        <w:spacing w:before="120" w:after="120" w:line="240" w:lineRule="auto"/>
        <w:jc w:val="both"/>
        <w:rPr>
          <w:rFonts w:cs="Calibri"/>
          <w:b/>
        </w:rPr>
      </w:pPr>
      <w:r w:rsidRPr="00117156">
        <w:rPr>
          <w:rFonts w:cs="Calibri"/>
          <w:b/>
        </w:rPr>
        <w:t>OP KŽP (</w:t>
      </w:r>
      <w:r w:rsidR="003C4F4D">
        <w:rPr>
          <w:rFonts w:cs="Calibri"/>
          <w:b/>
        </w:rPr>
        <w:t>541,86</w:t>
      </w:r>
      <w:r w:rsidRPr="00117156">
        <w:rPr>
          <w:rFonts w:cs="Calibri"/>
          <w:b/>
        </w:rPr>
        <w:t xml:space="preserve"> mil. EUR), </w:t>
      </w:r>
      <w:r w:rsidRPr="00117156">
        <w:rPr>
          <w:rFonts w:cs="Calibri"/>
        </w:rPr>
        <w:t xml:space="preserve">čo predstavuje </w:t>
      </w:r>
      <w:r w:rsidR="003C4F4D">
        <w:rPr>
          <w:rFonts w:cs="Calibri"/>
        </w:rPr>
        <w:t>19,13</w:t>
      </w:r>
      <w:r w:rsidRPr="00117156">
        <w:rPr>
          <w:rFonts w:cs="Calibri"/>
        </w:rPr>
        <w:t xml:space="preserve"> % alokácie,</w:t>
      </w:r>
    </w:p>
    <w:p w14:paraId="70541352" w14:textId="4ED3057E" w:rsidR="00D71B99" w:rsidRPr="00117156" w:rsidRDefault="00D71B99" w:rsidP="004D28EC">
      <w:pPr>
        <w:pStyle w:val="Odsekzoznamu"/>
        <w:numPr>
          <w:ilvl w:val="0"/>
          <w:numId w:val="8"/>
        </w:numPr>
        <w:spacing w:line="240" w:lineRule="auto"/>
        <w:jc w:val="both"/>
        <w:rPr>
          <w:rFonts w:cs="Calibri"/>
          <w:b/>
        </w:rPr>
      </w:pPr>
      <w:r w:rsidRPr="00117156">
        <w:rPr>
          <w:rFonts w:cs="Calibri"/>
          <w:b/>
        </w:rPr>
        <w:t>OP II (</w:t>
      </w:r>
      <w:r w:rsidR="003C4F4D">
        <w:rPr>
          <w:rFonts w:cs="Calibri"/>
          <w:b/>
        </w:rPr>
        <w:t>311,29</w:t>
      </w:r>
      <w:r w:rsidRPr="00117156">
        <w:rPr>
          <w:rFonts w:cs="Calibri"/>
          <w:b/>
        </w:rPr>
        <w:t xml:space="preserve"> mil. EUR), </w:t>
      </w:r>
      <w:r w:rsidRPr="00117156">
        <w:rPr>
          <w:rFonts w:cs="Calibri"/>
        </w:rPr>
        <w:t xml:space="preserve">čo predstavuje </w:t>
      </w:r>
      <w:r w:rsidR="003C4F4D">
        <w:rPr>
          <w:rFonts w:cs="Calibri"/>
        </w:rPr>
        <w:t>5,18</w:t>
      </w:r>
      <w:r w:rsidRPr="00117156">
        <w:rPr>
          <w:rFonts w:cs="Calibri"/>
        </w:rPr>
        <w:t xml:space="preserve"> % alokácie,</w:t>
      </w:r>
    </w:p>
    <w:p w14:paraId="53F80447" w14:textId="0BD0F21E" w:rsidR="00B73680" w:rsidRPr="00117156" w:rsidRDefault="00D71B99" w:rsidP="004D28EC">
      <w:pPr>
        <w:pStyle w:val="Odsekzoznamu"/>
        <w:numPr>
          <w:ilvl w:val="0"/>
          <w:numId w:val="8"/>
        </w:numPr>
        <w:suppressAutoHyphens w:val="0"/>
        <w:spacing w:line="240" w:lineRule="auto"/>
        <w:ind w:left="714" w:hanging="357"/>
        <w:jc w:val="both"/>
        <w:rPr>
          <w:rFonts w:cs="Calibri"/>
          <w:b/>
        </w:rPr>
      </w:pPr>
      <w:r w:rsidRPr="00117156">
        <w:rPr>
          <w:rFonts w:cs="Calibri"/>
          <w:b/>
        </w:rPr>
        <w:t>OP ĽZ</w:t>
      </w:r>
      <w:r w:rsidR="00AC7B52" w:rsidRPr="00117156">
        <w:rPr>
          <w:rFonts w:cs="Calibri"/>
          <w:b/>
        </w:rPr>
        <w:t xml:space="preserve"> (</w:t>
      </w:r>
      <w:r w:rsidR="003C4F4D">
        <w:rPr>
          <w:rFonts w:cs="Calibri"/>
          <w:b/>
        </w:rPr>
        <w:t>129,31</w:t>
      </w:r>
      <w:r w:rsidR="00AC7B52" w:rsidRPr="00117156">
        <w:rPr>
          <w:rFonts w:cs="Calibri"/>
          <w:b/>
        </w:rPr>
        <w:t xml:space="preserve"> mil. EUR), </w:t>
      </w:r>
      <w:r w:rsidR="00AC7B52" w:rsidRPr="00117156">
        <w:rPr>
          <w:rFonts w:cs="Calibri"/>
        </w:rPr>
        <w:t xml:space="preserve">čo predstavuje </w:t>
      </w:r>
      <w:r w:rsidR="003C4F4D">
        <w:rPr>
          <w:rFonts w:cs="Calibri"/>
        </w:rPr>
        <w:t>4,32</w:t>
      </w:r>
      <w:r w:rsidR="00AC7B52" w:rsidRPr="00117156">
        <w:rPr>
          <w:rFonts w:cs="Calibri"/>
        </w:rPr>
        <w:t xml:space="preserve"> % alokácie</w:t>
      </w:r>
      <w:r w:rsidR="007860B0" w:rsidRPr="00117156">
        <w:rPr>
          <w:rFonts w:cs="Calibri"/>
          <w:b/>
        </w:rPr>
        <w:t>.</w:t>
      </w:r>
    </w:p>
    <w:p w14:paraId="11B515D5" w14:textId="32B5D707" w:rsidR="00B73680" w:rsidRPr="00117156" w:rsidRDefault="00B73680" w:rsidP="004D28EC">
      <w:pPr>
        <w:suppressAutoHyphens w:val="0"/>
        <w:spacing w:line="240" w:lineRule="auto"/>
        <w:jc w:val="both"/>
        <w:rPr>
          <w:rFonts w:cs="Calibri"/>
          <w:b/>
        </w:rPr>
      </w:pPr>
      <w:r w:rsidRPr="00117156">
        <w:rPr>
          <w:rFonts w:cs="Calibri"/>
          <w:b/>
        </w:rPr>
        <w:br w:type="page"/>
      </w:r>
    </w:p>
    <w:p w14:paraId="6ABC8670" w14:textId="77777777" w:rsidR="00B73680" w:rsidRPr="00117156" w:rsidRDefault="00B73680" w:rsidP="004D28EC">
      <w:pPr>
        <w:pStyle w:val="Nadpis2"/>
        <w:keepNext w:val="0"/>
        <w:keepLines w:val="0"/>
        <w:numPr>
          <w:ilvl w:val="1"/>
          <w:numId w:val="1"/>
        </w:numPr>
        <w:suppressAutoHyphens w:val="0"/>
        <w:spacing w:before="0" w:after="120" w:line="240" w:lineRule="auto"/>
        <w:ind w:left="709" w:hanging="567"/>
        <w:contextualSpacing/>
        <w:jc w:val="both"/>
        <w:rPr>
          <w:rFonts w:ascii="Calibri" w:eastAsia="Times New Roman" w:hAnsi="Calibri" w:cs="Calibri"/>
          <w:b/>
          <w:color w:val="0055A1"/>
        </w:rPr>
      </w:pPr>
      <w:bookmarkStart w:id="6" w:name="_Toc136537490"/>
      <w:bookmarkStart w:id="7" w:name="_Toc136537491"/>
      <w:bookmarkStart w:id="8" w:name="_Toc136537492"/>
      <w:bookmarkStart w:id="9" w:name="_Toc136537493"/>
      <w:bookmarkStart w:id="10" w:name="_Toc136537494"/>
      <w:bookmarkStart w:id="11" w:name="_Toc136537495"/>
      <w:bookmarkStart w:id="12" w:name="_Toc145322541"/>
      <w:bookmarkStart w:id="13" w:name="_Toc158989288"/>
      <w:bookmarkStart w:id="14" w:name="_Toc98753633"/>
      <w:bookmarkStart w:id="15" w:name="_Toc94116276"/>
      <w:bookmarkEnd w:id="6"/>
      <w:bookmarkEnd w:id="7"/>
      <w:bookmarkEnd w:id="8"/>
      <w:bookmarkEnd w:id="9"/>
      <w:bookmarkEnd w:id="10"/>
      <w:bookmarkEnd w:id="11"/>
      <w:r w:rsidRPr="00117156">
        <w:rPr>
          <w:rFonts w:ascii="Calibri" w:eastAsia="Times New Roman" w:hAnsi="Calibri" w:cs="Calibri"/>
          <w:b/>
          <w:color w:val="0055A1"/>
        </w:rPr>
        <w:lastRenderedPageBreak/>
        <w:t>Implementácia FAST-CARE</w:t>
      </w:r>
      <w:bookmarkEnd w:id="12"/>
      <w:bookmarkEnd w:id="13"/>
      <w:r w:rsidRPr="00117156">
        <w:rPr>
          <w:rFonts w:ascii="Calibri" w:eastAsia="Times New Roman" w:hAnsi="Calibri" w:cs="Calibri"/>
          <w:b/>
          <w:color w:val="0055A1"/>
        </w:rPr>
        <w:t xml:space="preserve"> </w:t>
      </w:r>
    </w:p>
    <w:p w14:paraId="5D7E6355" w14:textId="39337832" w:rsidR="00B73680" w:rsidRPr="00117156" w:rsidRDefault="00B73680" w:rsidP="004D28EC">
      <w:pPr>
        <w:spacing w:after="120" w:line="240" w:lineRule="auto"/>
        <w:jc w:val="both"/>
        <w:rPr>
          <w:rFonts w:eastAsia="Calibri" w:cs="Calibri"/>
          <w:bCs/>
        </w:rPr>
      </w:pPr>
      <w:r w:rsidRPr="00117156">
        <w:rPr>
          <w:rFonts w:eastAsia="Calibri" w:cs="Calibri"/>
          <w:bCs/>
        </w:rPr>
        <w:t>Na riešenie problematiky migračnej krízy súvisiacej s konfliktom na Ukrajine promptne reagovala Európska komisia a prijala iniciatívy CARE (nariadenie EK z 6.4.2022) a FAST-CARE (nariadenie EK z</w:t>
      </w:r>
      <w:r w:rsidR="006C7EBB">
        <w:rPr>
          <w:rFonts w:eastAsia="Calibri" w:cs="Calibri"/>
          <w:bCs/>
        </w:rPr>
        <w:t> </w:t>
      </w:r>
      <w:r w:rsidRPr="00117156">
        <w:rPr>
          <w:rFonts w:eastAsia="Calibri" w:cs="Calibri"/>
          <w:bCs/>
        </w:rPr>
        <w:t>19.10.2022). Schválením príslušných nariadení sa v rámci kohéznej legislatívy zaviedli viaceré nové flexibility, ktoré umožňujú využitie disponibilných zdrojov EŠIF na riešenie dopadov krízy v súvislosti s</w:t>
      </w:r>
      <w:r w:rsidR="006C7EBB">
        <w:rPr>
          <w:rFonts w:eastAsia="Calibri" w:cs="Calibri"/>
          <w:bCs/>
        </w:rPr>
        <w:t> </w:t>
      </w:r>
      <w:r w:rsidRPr="00117156">
        <w:rPr>
          <w:rFonts w:eastAsia="Calibri" w:cs="Calibri"/>
          <w:bCs/>
        </w:rPr>
        <w:t xml:space="preserve">vojnou na Ukrajine. SR plánuje využiť disponibilné zdroje EŠIF v objeme </w:t>
      </w:r>
      <w:r w:rsidRPr="00117156">
        <w:rPr>
          <w:rFonts w:eastAsia="Calibri" w:cs="Calibri"/>
          <w:b/>
        </w:rPr>
        <w:t>339,56 mil. EUR</w:t>
      </w:r>
      <w:r w:rsidRPr="00117156">
        <w:rPr>
          <w:rFonts w:eastAsia="Calibri" w:cs="Calibri"/>
          <w:bCs/>
        </w:rPr>
        <w:t xml:space="preserve"> v rámci </w:t>
      </w:r>
      <w:r w:rsidRPr="00117156">
        <w:rPr>
          <w:rFonts w:eastAsia="Calibri" w:cs="Calibri"/>
          <w:b/>
        </w:rPr>
        <w:t>3</w:t>
      </w:r>
      <w:r w:rsidR="006C7EBB">
        <w:rPr>
          <w:rFonts w:eastAsia="Calibri" w:cs="Calibri"/>
          <w:b/>
        </w:rPr>
        <w:t> </w:t>
      </w:r>
      <w:r w:rsidRPr="00117156">
        <w:rPr>
          <w:rFonts w:eastAsia="Calibri" w:cs="Calibri"/>
          <w:b/>
        </w:rPr>
        <w:t>operačných programov:</w:t>
      </w:r>
    </w:p>
    <w:p w14:paraId="54B59C41" w14:textId="77777777" w:rsidR="00B73680" w:rsidRPr="00117156" w:rsidRDefault="00B73680" w:rsidP="004D28EC">
      <w:pPr>
        <w:spacing w:after="120" w:line="240" w:lineRule="auto"/>
        <w:ind w:left="703" w:hanging="703"/>
        <w:rPr>
          <w:rFonts w:eastAsia="Calibri" w:cs="Calibri"/>
          <w:bCs/>
        </w:rPr>
      </w:pPr>
      <w:r w:rsidRPr="00117156">
        <w:rPr>
          <w:rFonts w:eastAsia="Calibri" w:cs="Calibri"/>
          <w:b/>
          <w:u w:val="single"/>
        </w:rPr>
        <w:t>Integrovaný regionálny operačný program (alokácia 244,01 mil. EUR)</w:t>
      </w:r>
    </w:p>
    <w:p w14:paraId="5638446D" w14:textId="77777777" w:rsidR="00B73680" w:rsidRPr="00117156" w:rsidRDefault="00B73680" w:rsidP="004D28EC">
      <w:pPr>
        <w:pStyle w:val="Odsekzoznamu"/>
        <w:keepNext/>
        <w:numPr>
          <w:ilvl w:val="0"/>
          <w:numId w:val="11"/>
        </w:numPr>
        <w:suppressAutoHyphens w:val="0"/>
        <w:spacing w:after="120" w:line="240" w:lineRule="auto"/>
        <w:jc w:val="both"/>
        <w:rPr>
          <w:rFonts w:eastAsia="Calibri" w:cs="Calibri"/>
          <w:bCs/>
        </w:rPr>
      </w:pPr>
      <w:r w:rsidRPr="00117156">
        <w:rPr>
          <w:rFonts w:eastAsia="Calibri" w:cs="Calibri"/>
        </w:rPr>
        <w:t>financovanie výdavkov miest a obcí v súvislosti s prvotným prijatím utečencov</w:t>
      </w:r>
    </w:p>
    <w:p w14:paraId="47A5E922" w14:textId="77777777" w:rsidR="00B73680" w:rsidRPr="00117156" w:rsidRDefault="00B73680" w:rsidP="004D28EC">
      <w:pPr>
        <w:pStyle w:val="Odsekzoznamu"/>
        <w:keepNext/>
        <w:numPr>
          <w:ilvl w:val="0"/>
          <w:numId w:val="11"/>
        </w:numPr>
        <w:suppressAutoHyphens w:val="0"/>
        <w:spacing w:after="120" w:line="240" w:lineRule="auto"/>
        <w:jc w:val="both"/>
        <w:rPr>
          <w:rFonts w:eastAsia="Calibri" w:cs="Calibri"/>
          <w:bCs/>
        </w:rPr>
      </w:pPr>
      <w:r w:rsidRPr="00117156">
        <w:rPr>
          <w:rFonts w:eastAsia="Calibri" w:cs="Calibri"/>
        </w:rPr>
        <w:t>refundácia/financovanie výdavkov štátneho sektora v súvislosti s pomocou utečencom</w:t>
      </w:r>
    </w:p>
    <w:p w14:paraId="42ED8788" w14:textId="77777777" w:rsidR="00B73680" w:rsidRPr="00117156" w:rsidRDefault="00B73680" w:rsidP="004D28EC">
      <w:pPr>
        <w:pStyle w:val="Odsekzoznamu"/>
        <w:keepNext/>
        <w:numPr>
          <w:ilvl w:val="0"/>
          <w:numId w:val="11"/>
        </w:numPr>
        <w:suppressAutoHyphens w:val="0"/>
        <w:spacing w:after="120" w:line="240" w:lineRule="auto"/>
        <w:jc w:val="both"/>
        <w:rPr>
          <w:rFonts w:eastAsia="Calibri" w:cs="Calibri"/>
          <w:b/>
        </w:rPr>
      </w:pPr>
      <w:r w:rsidRPr="00117156">
        <w:rPr>
          <w:rFonts w:eastAsia="Calibri" w:cs="Calibri"/>
          <w:b/>
          <w:bCs/>
        </w:rPr>
        <w:t xml:space="preserve">revízia IROP bola 12.05.2023 schválená </w:t>
      </w:r>
      <w:r w:rsidRPr="00117156">
        <w:rPr>
          <w:rFonts w:eastAsia="Calibri" w:cs="Calibri"/>
          <w:b/>
        </w:rPr>
        <w:t>Európskou komisiou</w:t>
      </w:r>
    </w:p>
    <w:p w14:paraId="2D753F81" w14:textId="73A7FE97" w:rsidR="00B73680" w:rsidRPr="00117156" w:rsidRDefault="00B73680" w:rsidP="004D28EC">
      <w:pPr>
        <w:spacing w:after="120" w:line="240" w:lineRule="auto"/>
        <w:rPr>
          <w:rFonts w:eastAsia="Calibri" w:cs="Calibri"/>
          <w:b/>
          <w:u w:val="single"/>
        </w:rPr>
      </w:pPr>
      <w:r w:rsidRPr="00117156">
        <w:rPr>
          <w:rFonts w:eastAsia="Calibri" w:cs="Calibri"/>
          <w:b/>
          <w:u w:val="single"/>
        </w:rPr>
        <w:t>OP Ľudské zdroje (alokácia 65,55 mil. EUR)</w:t>
      </w:r>
    </w:p>
    <w:p w14:paraId="0611FC34" w14:textId="45B2EEE5" w:rsidR="00B73680" w:rsidRPr="00117156" w:rsidRDefault="00B73680" w:rsidP="004D28EC">
      <w:pPr>
        <w:pStyle w:val="Odsekzoznamu"/>
        <w:keepNext/>
        <w:numPr>
          <w:ilvl w:val="0"/>
          <w:numId w:val="11"/>
        </w:numPr>
        <w:suppressAutoHyphens w:val="0"/>
        <w:spacing w:after="120" w:line="240" w:lineRule="auto"/>
        <w:jc w:val="both"/>
        <w:rPr>
          <w:rFonts w:eastAsia="Calibri" w:cs="Calibri"/>
          <w:bCs/>
        </w:rPr>
      </w:pPr>
      <w:r w:rsidRPr="00117156">
        <w:rPr>
          <w:rFonts w:eastAsia="Calibri" w:cs="Calibri"/>
          <w:bCs/>
        </w:rPr>
        <w:t>podpora aktivít zameraných na integráciu utečencov, ich začlenenie na trh práce a</w:t>
      </w:r>
      <w:r w:rsidR="006C7EBB">
        <w:rPr>
          <w:rFonts w:eastAsia="Calibri" w:cs="Calibri"/>
          <w:bCs/>
        </w:rPr>
        <w:t> </w:t>
      </w:r>
      <w:r w:rsidRPr="00117156">
        <w:rPr>
          <w:rFonts w:eastAsia="Calibri" w:cs="Calibri"/>
          <w:bCs/>
        </w:rPr>
        <w:t>poskytovanie sociálnych služieb</w:t>
      </w:r>
    </w:p>
    <w:p w14:paraId="7B04FD2D" w14:textId="53CF358C" w:rsidR="00B73680" w:rsidRPr="00117156" w:rsidRDefault="00B73680" w:rsidP="004D28EC">
      <w:pPr>
        <w:pStyle w:val="Odsekzoznamu"/>
        <w:keepNext/>
        <w:numPr>
          <w:ilvl w:val="0"/>
          <w:numId w:val="11"/>
        </w:numPr>
        <w:suppressAutoHyphens w:val="0"/>
        <w:spacing w:after="120" w:line="240" w:lineRule="auto"/>
        <w:jc w:val="both"/>
        <w:rPr>
          <w:rFonts w:eastAsia="Calibri" w:cs="Calibri"/>
          <w:b/>
        </w:rPr>
      </w:pPr>
      <w:r w:rsidRPr="00117156">
        <w:rPr>
          <w:rFonts w:eastAsia="Calibri" w:cs="Calibri"/>
          <w:b/>
        </w:rPr>
        <w:t xml:space="preserve">revízia OP ĽZ bola 19.12.2022 schválená Európskou komisiou </w:t>
      </w:r>
      <w:r w:rsidRPr="00117156">
        <w:rPr>
          <w:rFonts w:eastAsia="Calibri" w:cs="Calibri"/>
          <w:b/>
          <w:i/>
        </w:rPr>
        <w:t>(29.09.2023 bola Európskej komisii predložená revízia s navýšenou alokáciou o 24,3 mil. EUR)</w:t>
      </w:r>
    </w:p>
    <w:p w14:paraId="0971A096" w14:textId="77777777" w:rsidR="00B73680" w:rsidRPr="00117156" w:rsidRDefault="00B73680" w:rsidP="004D28EC">
      <w:pPr>
        <w:spacing w:after="120" w:line="240" w:lineRule="auto"/>
        <w:rPr>
          <w:rFonts w:eastAsia="Calibri" w:cs="Calibri"/>
          <w:b/>
          <w:u w:val="single"/>
        </w:rPr>
      </w:pPr>
      <w:r w:rsidRPr="00117156">
        <w:rPr>
          <w:rFonts w:eastAsia="Calibri" w:cs="Calibri"/>
          <w:b/>
          <w:u w:val="single"/>
        </w:rPr>
        <w:t>OP Integrovaná infraštruktúra (alokácia 30 mil. EUR)</w:t>
      </w:r>
    </w:p>
    <w:p w14:paraId="672A4A12" w14:textId="77777777" w:rsidR="00B73680" w:rsidRPr="00117156" w:rsidRDefault="00B73680" w:rsidP="004D28EC">
      <w:pPr>
        <w:pStyle w:val="Odsekzoznamu"/>
        <w:keepNext/>
        <w:numPr>
          <w:ilvl w:val="0"/>
          <w:numId w:val="11"/>
        </w:numPr>
        <w:suppressAutoHyphens w:val="0"/>
        <w:spacing w:after="120" w:line="240" w:lineRule="auto"/>
        <w:jc w:val="both"/>
        <w:rPr>
          <w:rFonts w:eastAsia="Calibri" w:cs="Calibri"/>
          <w:bCs/>
        </w:rPr>
      </w:pPr>
      <w:r w:rsidRPr="00117156">
        <w:rPr>
          <w:rFonts w:eastAsia="Calibri" w:cs="Calibri"/>
          <w:bCs/>
        </w:rPr>
        <w:t>podpora zamestnancov MV SR nasadených v prvej línii pomoci pri zmierňovaní dopadov migračnej krízy</w:t>
      </w:r>
    </w:p>
    <w:p w14:paraId="5C687B7D" w14:textId="4070C860" w:rsidR="00B73680" w:rsidRPr="00117156" w:rsidRDefault="00B73680" w:rsidP="004D28EC">
      <w:pPr>
        <w:pStyle w:val="Odsekzoznamu"/>
        <w:keepNext/>
        <w:numPr>
          <w:ilvl w:val="0"/>
          <w:numId w:val="11"/>
        </w:numPr>
        <w:suppressAutoHyphens w:val="0"/>
        <w:spacing w:after="120" w:line="240" w:lineRule="auto"/>
        <w:jc w:val="both"/>
        <w:rPr>
          <w:rFonts w:eastAsia="Calibri" w:cs="Calibri"/>
          <w:bCs/>
        </w:rPr>
      </w:pPr>
      <w:r w:rsidRPr="00117156">
        <w:rPr>
          <w:rFonts w:eastAsia="Calibri" w:cs="Calibri"/>
          <w:bCs/>
        </w:rPr>
        <w:t>poskytovanie digitálneho príspevku pre ukrajinských žiakov vo forme poukážok na</w:t>
      </w:r>
      <w:r w:rsidR="006C7EBB">
        <w:rPr>
          <w:rFonts w:eastAsia="Calibri" w:cs="Calibri"/>
          <w:bCs/>
        </w:rPr>
        <w:t> </w:t>
      </w:r>
      <w:r w:rsidRPr="00117156">
        <w:rPr>
          <w:rFonts w:eastAsia="Calibri" w:cs="Calibri"/>
          <w:bCs/>
        </w:rPr>
        <w:t>nákup IT</w:t>
      </w:r>
      <w:r w:rsidR="00C67B8E">
        <w:rPr>
          <w:rFonts w:eastAsia="Calibri" w:cs="Calibri"/>
          <w:bCs/>
        </w:rPr>
        <w:t> </w:t>
      </w:r>
      <w:r w:rsidRPr="00117156">
        <w:rPr>
          <w:rFonts w:eastAsia="Calibri" w:cs="Calibri"/>
          <w:bCs/>
        </w:rPr>
        <w:t>techniky</w:t>
      </w:r>
    </w:p>
    <w:p w14:paraId="2F565A48" w14:textId="77777777" w:rsidR="00B73680" w:rsidRPr="00117156" w:rsidRDefault="00B73680" w:rsidP="004D28EC">
      <w:pPr>
        <w:pStyle w:val="Odsekzoznamu"/>
        <w:keepNext/>
        <w:numPr>
          <w:ilvl w:val="0"/>
          <w:numId w:val="11"/>
        </w:numPr>
        <w:suppressAutoHyphens w:val="0"/>
        <w:spacing w:after="120" w:line="240" w:lineRule="auto"/>
        <w:jc w:val="both"/>
        <w:rPr>
          <w:rFonts w:eastAsia="Calibri" w:cs="Calibri"/>
          <w:b/>
        </w:rPr>
      </w:pPr>
      <w:r w:rsidRPr="00117156">
        <w:rPr>
          <w:rFonts w:eastAsia="Calibri" w:cs="Calibri"/>
          <w:b/>
        </w:rPr>
        <w:t>revízia OP II bola 04.04.2023 schválená Európskou komisiou</w:t>
      </w:r>
    </w:p>
    <w:tbl>
      <w:tblPr>
        <w:tblStyle w:val="Mriekatabuky"/>
        <w:tblW w:w="9057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9057"/>
      </w:tblGrid>
      <w:tr w:rsidR="00B73680" w:rsidRPr="00117156" w14:paraId="0190FEFC" w14:textId="77777777" w:rsidTr="00ED6076">
        <w:tc>
          <w:tcPr>
            <w:tcW w:w="9057" w:type="dxa"/>
          </w:tcPr>
          <w:p w14:paraId="1ED236E7" w14:textId="00848F4E" w:rsidR="00B73680" w:rsidRPr="00117156" w:rsidRDefault="00986D3B" w:rsidP="004D28EC">
            <w:pPr>
              <w:tabs>
                <w:tab w:val="left" w:pos="567"/>
              </w:tabs>
              <w:spacing w:line="240" w:lineRule="auto"/>
              <w:jc w:val="both"/>
              <w:rPr>
                <w:rFonts w:cs="Calibri"/>
                <w:b/>
              </w:rPr>
            </w:pPr>
            <w:r w:rsidRPr="00117156">
              <w:rPr>
                <w:rFonts w:cs="Calibri"/>
                <w:b/>
              </w:rPr>
              <w:t>Z dostupnej alokácie 339,56 mil. EUR bolo</w:t>
            </w:r>
            <w:r w:rsidR="00B9313D" w:rsidRPr="00117156">
              <w:rPr>
                <w:rFonts w:cs="Calibri"/>
                <w:b/>
              </w:rPr>
              <w:t xml:space="preserve"> k </w:t>
            </w:r>
            <w:r w:rsidR="00774C05">
              <w:rPr>
                <w:rFonts w:cs="Calibri"/>
                <w:b/>
              </w:rPr>
              <w:t>09.02.2024</w:t>
            </w:r>
            <w:r w:rsidRPr="00117156">
              <w:rPr>
                <w:rFonts w:cs="Calibri"/>
                <w:b/>
              </w:rPr>
              <w:t xml:space="preserve"> vo výzvach a vyzvaniach FAST-CARE sprístupnených 3</w:t>
            </w:r>
            <w:r w:rsidR="00774C05">
              <w:rPr>
                <w:rFonts w:cs="Calibri"/>
                <w:b/>
              </w:rPr>
              <w:t>53,72</w:t>
            </w:r>
            <w:r w:rsidRPr="00117156">
              <w:rPr>
                <w:rFonts w:cs="Calibri"/>
                <w:b/>
              </w:rPr>
              <w:t xml:space="preserve"> mil. EUR (10</w:t>
            </w:r>
            <w:r w:rsidR="00774C05">
              <w:rPr>
                <w:rFonts w:cs="Calibri"/>
                <w:b/>
              </w:rPr>
              <w:t>4</w:t>
            </w:r>
            <w:r w:rsidRPr="00117156">
              <w:rPr>
                <w:rFonts w:cs="Calibri"/>
                <w:b/>
              </w:rPr>
              <w:t>,</w:t>
            </w:r>
            <w:r w:rsidR="00774C05">
              <w:rPr>
                <w:rFonts w:cs="Calibri"/>
                <w:b/>
              </w:rPr>
              <w:t>17</w:t>
            </w:r>
            <w:r w:rsidRPr="00117156">
              <w:rPr>
                <w:rFonts w:cs="Calibri"/>
                <w:b/>
              </w:rPr>
              <w:t xml:space="preserve"> %), </w:t>
            </w:r>
            <w:proofErr w:type="spellStart"/>
            <w:r w:rsidRPr="00117156">
              <w:rPr>
                <w:rFonts w:cs="Calibri"/>
                <w:b/>
              </w:rPr>
              <w:t>zazmluvnených</w:t>
            </w:r>
            <w:proofErr w:type="spellEnd"/>
            <w:r w:rsidRPr="00117156">
              <w:rPr>
                <w:rFonts w:cs="Calibri"/>
                <w:b/>
              </w:rPr>
              <w:t xml:space="preserve"> 3</w:t>
            </w:r>
            <w:r w:rsidR="00774C05">
              <w:rPr>
                <w:rFonts w:cs="Calibri"/>
                <w:b/>
              </w:rPr>
              <w:t>47,75</w:t>
            </w:r>
            <w:r w:rsidRPr="00117156">
              <w:rPr>
                <w:rFonts w:cs="Calibri"/>
                <w:b/>
              </w:rPr>
              <w:t xml:space="preserve"> mil. EUR (</w:t>
            </w:r>
            <w:r w:rsidR="00774C05">
              <w:rPr>
                <w:rFonts w:cs="Calibri"/>
                <w:b/>
              </w:rPr>
              <w:t>102,41</w:t>
            </w:r>
            <w:r w:rsidRPr="00117156">
              <w:rPr>
                <w:rFonts w:cs="Calibri"/>
                <w:b/>
              </w:rPr>
              <w:t xml:space="preserve"> %) a vyplatených 2</w:t>
            </w:r>
            <w:r w:rsidR="00774C05">
              <w:rPr>
                <w:rFonts w:cs="Calibri"/>
                <w:b/>
              </w:rPr>
              <w:t>77,81</w:t>
            </w:r>
            <w:r w:rsidRPr="00117156">
              <w:rPr>
                <w:rFonts w:cs="Calibri"/>
                <w:b/>
              </w:rPr>
              <w:t xml:space="preserve"> EUR (</w:t>
            </w:r>
            <w:r w:rsidR="00774C05">
              <w:rPr>
                <w:rFonts w:cs="Calibri"/>
                <w:b/>
              </w:rPr>
              <w:t>81,82</w:t>
            </w:r>
            <w:r w:rsidRPr="00117156">
              <w:rPr>
                <w:rFonts w:cs="Calibri"/>
                <w:b/>
              </w:rPr>
              <w:t xml:space="preserve"> %).</w:t>
            </w:r>
            <w:r w:rsidR="00B73680" w:rsidRPr="00117156">
              <w:rPr>
                <w:rFonts w:cs="Calibri"/>
                <w:b/>
              </w:rPr>
              <w:t xml:space="preserve"> </w:t>
            </w:r>
          </w:p>
        </w:tc>
      </w:tr>
    </w:tbl>
    <w:p w14:paraId="27470604" w14:textId="77777777" w:rsidR="003A2CD3" w:rsidRPr="00117156" w:rsidRDefault="003A2CD3" w:rsidP="004D28EC">
      <w:pPr>
        <w:pStyle w:val="Odsekzoznamu"/>
        <w:spacing w:line="240" w:lineRule="auto"/>
        <w:ind w:left="714"/>
        <w:jc w:val="both"/>
        <w:rPr>
          <w:rFonts w:eastAsia="Calibri" w:cs="Calibri"/>
          <w:b/>
        </w:rPr>
      </w:pPr>
    </w:p>
    <w:p w14:paraId="2460715B" w14:textId="3986C5D0" w:rsidR="003A2CD3" w:rsidRPr="00117156" w:rsidRDefault="003A2CD3" w:rsidP="004D28EC">
      <w:pPr>
        <w:keepNext/>
        <w:spacing w:line="240" w:lineRule="auto"/>
        <w:jc w:val="both"/>
        <w:rPr>
          <w:rFonts w:cs="Calibri"/>
          <w:b/>
        </w:rPr>
      </w:pPr>
      <w:r w:rsidRPr="00117156">
        <w:rPr>
          <w:rFonts w:cs="Calibri"/>
          <w:b/>
        </w:rPr>
        <w:t xml:space="preserve">Tabuľka č. </w:t>
      </w:r>
      <w:r w:rsidR="00C67B8E">
        <w:rPr>
          <w:rFonts w:cs="Calibri"/>
          <w:b/>
        </w:rPr>
        <w:t>4</w:t>
      </w:r>
      <w:r w:rsidR="00A52F24" w:rsidRPr="00117156">
        <w:rPr>
          <w:rFonts w:cs="Calibri"/>
          <w:b/>
        </w:rPr>
        <w:t>:</w:t>
      </w:r>
      <w:r w:rsidRPr="00117156">
        <w:rPr>
          <w:rFonts w:cs="Calibri"/>
          <w:b/>
        </w:rPr>
        <w:t xml:space="preserve"> Prehľad implementácie FAST-CARE k </w:t>
      </w:r>
      <w:r w:rsidR="00774C05">
        <w:rPr>
          <w:rFonts w:cs="Calibri"/>
          <w:b/>
        </w:rPr>
        <w:t>09</w:t>
      </w:r>
      <w:r w:rsidRPr="00117156">
        <w:rPr>
          <w:rFonts w:cs="Calibri"/>
          <w:b/>
        </w:rPr>
        <w:t>.</w:t>
      </w:r>
      <w:r w:rsidR="00774C05">
        <w:rPr>
          <w:rFonts w:cs="Calibri"/>
          <w:b/>
        </w:rPr>
        <w:t>02</w:t>
      </w:r>
      <w:r w:rsidRPr="00117156">
        <w:rPr>
          <w:rFonts w:cs="Calibri"/>
          <w:b/>
        </w:rPr>
        <w:t>.202</w:t>
      </w:r>
      <w:r w:rsidR="00774C05">
        <w:rPr>
          <w:rFonts w:cs="Calibri"/>
          <w:b/>
        </w:rPr>
        <w:t>4</w:t>
      </w:r>
    </w:p>
    <w:p w14:paraId="70777ACB" w14:textId="16A03B2B" w:rsidR="00774C05" w:rsidRPr="00117156" w:rsidRDefault="00774C05" w:rsidP="004D28EC">
      <w:pPr>
        <w:keepNext/>
        <w:spacing w:line="240" w:lineRule="auto"/>
        <w:jc w:val="both"/>
        <w:rPr>
          <w:rFonts w:cs="Calibri"/>
          <w:i/>
          <w:sz w:val="18"/>
          <w:szCs w:val="18"/>
        </w:rPr>
      </w:pPr>
      <w:r w:rsidRPr="00774C05">
        <w:rPr>
          <w:noProof/>
          <w:lang w:eastAsia="sk-SK"/>
        </w:rPr>
        <w:drawing>
          <wp:inline distT="0" distB="0" distL="0" distR="0" wp14:anchorId="1F291C15" wp14:editId="666B346F">
            <wp:extent cx="6092190" cy="1976101"/>
            <wp:effectExtent l="0" t="0" r="3810" b="571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550" cy="198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DA85" w14:textId="7924AB75" w:rsidR="003A2CD3" w:rsidRPr="00B42122" w:rsidRDefault="003A2CD3" w:rsidP="004D28EC">
      <w:pPr>
        <w:keepNext/>
        <w:spacing w:after="120" w:line="240" w:lineRule="auto"/>
        <w:jc w:val="both"/>
        <w:rPr>
          <w:rFonts w:cs="Calibri"/>
          <w:i/>
          <w:sz w:val="18"/>
          <w:szCs w:val="18"/>
        </w:rPr>
      </w:pPr>
      <w:r w:rsidRPr="00B42122">
        <w:rPr>
          <w:rFonts w:cs="Calibri"/>
          <w:i/>
          <w:sz w:val="18"/>
          <w:szCs w:val="18"/>
        </w:rPr>
        <w:t>Zdroj: ITMS 2014+, Certifikačný orgán (MF SR); alokácia za OP ĽZ aj celkom bola k 30.09.2023 navýšená o 24,3 mil. EUR.</w:t>
      </w:r>
    </w:p>
    <w:p w14:paraId="0D16AA49" w14:textId="1B23A38B" w:rsidR="003A2CD3" w:rsidRPr="00117156" w:rsidRDefault="003A2CD3" w:rsidP="004D28EC">
      <w:pPr>
        <w:suppressAutoHyphens w:val="0"/>
        <w:spacing w:before="120" w:after="120" w:line="240" w:lineRule="auto"/>
        <w:jc w:val="both"/>
        <w:rPr>
          <w:rFonts w:eastAsia="Calibri" w:cs="Calibri"/>
          <w:b/>
          <w:bCs/>
          <w:color w:val="5B9BD5" w:themeColor="accent1"/>
        </w:rPr>
      </w:pPr>
    </w:p>
    <w:p w14:paraId="4201B2EC" w14:textId="34CF9CD3" w:rsidR="006D32BF" w:rsidRDefault="006D32BF" w:rsidP="004D28EC">
      <w:pPr>
        <w:suppressAutoHyphens w:val="0"/>
        <w:spacing w:after="16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br w:type="page"/>
      </w:r>
    </w:p>
    <w:p w14:paraId="06810B37" w14:textId="77777777" w:rsidR="00B73680" w:rsidRPr="00117156" w:rsidRDefault="00B73680" w:rsidP="004D28EC">
      <w:pPr>
        <w:pStyle w:val="Nadpis2"/>
        <w:keepNext w:val="0"/>
        <w:keepLines w:val="0"/>
        <w:numPr>
          <w:ilvl w:val="1"/>
          <w:numId w:val="1"/>
        </w:numPr>
        <w:suppressAutoHyphens w:val="0"/>
        <w:spacing w:before="0" w:after="120" w:line="240" w:lineRule="auto"/>
        <w:ind w:left="709" w:hanging="567"/>
        <w:contextualSpacing/>
        <w:jc w:val="both"/>
        <w:rPr>
          <w:rFonts w:ascii="Calibri" w:eastAsia="Times New Roman" w:hAnsi="Calibri" w:cs="Calibri"/>
          <w:b/>
          <w:color w:val="0055A1"/>
        </w:rPr>
      </w:pPr>
      <w:bookmarkStart w:id="16" w:name="_Toc145322542"/>
      <w:bookmarkStart w:id="17" w:name="_Toc158989289"/>
      <w:r w:rsidRPr="00117156">
        <w:rPr>
          <w:rFonts w:ascii="Calibri" w:eastAsia="Times New Roman" w:hAnsi="Calibri" w:cs="Calibri"/>
          <w:b/>
          <w:color w:val="0055A1"/>
        </w:rPr>
        <w:lastRenderedPageBreak/>
        <w:t>Implementácia SAFE</w:t>
      </w:r>
      <w:bookmarkEnd w:id="16"/>
      <w:bookmarkEnd w:id="17"/>
      <w:r w:rsidRPr="00117156">
        <w:rPr>
          <w:rFonts w:ascii="Calibri" w:eastAsia="Times New Roman" w:hAnsi="Calibri" w:cs="Calibri"/>
          <w:b/>
          <w:color w:val="0055A1"/>
        </w:rPr>
        <w:t xml:space="preserve"> </w:t>
      </w:r>
    </w:p>
    <w:p w14:paraId="1F97EF1C" w14:textId="77777777" w:rsidR="00B73680" w:rsidRPr="00117156" w:rsidRDefault="00B73680" w:rsidP="004D28EC">
      <w:pPr>
        <w:suppressAutoHyphens w:val="0"/>
        <w:spacing w:before="120" w:after="160" w:line="240" w:lineRule="auto"/>
        <w:jc w:val="both"/>
        <w:rPr>
          <w:rFonts w:cs="Calibri"/>
        </w:rPr>
      </w:pPr>
      <w:r w:rsidRPr="00117156">
        <w:rPr>
          <w:rFonts w:eastAsia="Calibri" w:cs="Calibri"/>
          <w:bCs/>
        </w:rPr>
        <w:t xml:space="preserve">Na riešenie problémov spojených s extrémnym nárastom cien energií prijala EK </w:t>
      </w:r>
      <w:r w:rsidRPr="00117156">
        <w:rPr>
          <w:rFonts w:eastAsia="Calibri" w:cs="Calibri"/>
          <w:b/>
          <w:bCs/>
        </w:rPr>
        <w:t>iniciatívu SAFE</w:t>
      </w:r>
      <w:r w:rsidRPr="00117156">
        <w:rPr>
          <w:rFonts w:eastAsia="Calibri" w:cs="Calibri"/>
          <w:bCs/>
        </w:rPr>
        <w:t xml:space="preserve"> </w:t>
      </w:r>
      <w:r w:rsidRPr="00117156">
        <w:rPr>
          <w:rFonts w:cs="Calibri"/>
        </w:rPr>
        <w:t xml:space="preserve">(schválená Nariadením EP a Rady (EÚ) 2023/435 z 27. februára 2023). EK umožňuje poskytnúť </w:t>
      </w:r>
      <w:r w:rsidRPr="00117156">
        <w:rPr>
          <w:rFonts w:cs="Calibri"/>
          <w:b/>
        </w:rPr>
        <w:t xml:space="preserve">pomoc pri úhrade nákladov na spotrebu energie v prípade zraniteľných domácností </w:t>
      </w:r>
      <w:r w:rsidRPr="00117156">
        <w:rPr>
          <w:rFonts w:cs="Calibri"/>
        </w:rPr>
        <w:t>a využiť tak zostávajúce nevyčerpané zdroje EŠIF.</w:t>
      </w:r>
    </w:p>
    <w:p w14:paraId="22BCCC81" w14:textId="05B3A600" w:rsidR="00B73680" w:rsidRPr="00117156" w:rsidRDefault="00B73680" w:rsidP="004D28EC">
      <w:pPr>
        <w:spacing w:before="120" w:after="120" w:line="240" w:lineRule="auto"/>
        <w:jc w:val="both"/>
        <w:rPr>
          <w:rFonts w:cs="Calibri"/>
          <w:bCs/>
          <w:lang w:eastAsia="en-US"/>
        </w:rPr>
      </w:pPr>
      <w:r w:rsidRPr="00117156">
        <w:rPr>
          <w:rFonts w:cs="Calibri"/>
          <w:bCs/>
          <w:lang w:eastAsia="en-US"/>
        </w:rPr>
        <w:t xml:space="preserve">Na základe analýzy bola ako najvhodnejšie opatrenie pre podporu v rámci iniciatívy SAFE identifikovaná kompenzácia zvýšených nákladov na dodávky plynu, prípadne elektriny pre zraniteľné domácnosti. Zdroje SAFE budú použité na </w:t>
      </w:r>
      <w:r w:rsidRPr="00117156">
        <w:rPr>
          <w:rFonts w:cs="Calibri"/>
          <w:b/>
          <w:bCs/>
          <w:lang w:eastAsia="en-US"/>
        </w:rPr>
        <w:t>preplatenie kompenzácií</w:t>
      </w:r>
      <w:r w:rsidRPr="00117156">
        <w:rPr>
          <w:rFonts w:cs="Calibri"/>
          <w:bCs/>
          <w:lang w:eastAsia="en-US"/>
        </w:rPr>
        <w:t xml:space="preserve"> rozdielu medzi trhovou cenou energie a limitom určeným vládou Slovenskej republiky, ktoré sú poskytované </w:t>
      </w:r>
      <w:r w:rsidRPr="00117156">
        <w:rPr>
          <w:rFonts w:cs="Calibri"/>
          <w:b/>
          <w:bCs/>
          <w:lang w:eastAsia="en-US"/>
        </w:rPr>
        <w:t>dodávateľom energií</w:t>
      </w:r>
      <w:r w:rsidRPr="00117156">
        <w:rPr>
          <w:rFonts w:cs="Calibri"/>
          <w:bCs/>
          <w:lang w:eastAsia="en-US"/>
        </w:rPr>
        <w:t xml:space="preserve"> aktuálne zo</w:t>
      </w:r>
      <w:r w:rsidR="006C7EBB">
        <w:rPr>
          <w:rFonts w:cs="Calibri"/>
          <w:bCs/>
          <w:lang w:eastAsia="en-US"/>
        </w:rPr>
        <w:t> </w:t>
      </w:r>
      <w:r w:rsidRPr="00117156">
        <w:rPr>
          <w:rFonts w:cs="Calibri"/>
          <w:bCs/>
          <w:lang w:eastAsia="en-US"/>
        </w:rPr>
        <w:t>štátneho rozpočtu</w:t>
      </w:r>
      <w:r w:rsidR="00B80582" w:rsidRPr="00117156">
        <w:rPr>
          <w:rFonts w:cs="Calibri"/>
          <w:bCs/>
          <w:lang w:eastAsia="en-US"/>
        </w:rPr>
        <w:t xml:space="preserve"> v</w:t>
      </w:r>
      <w:r w:rsidR="006C7EBB">
        <w:rPr>
          <w:rFonts w:cs="Calibri"/>
          <w:bCs/>
          <w:lang w:eastAsia="en-US"/>
        </w:rPr>
        <w:t xml:space="preserve"> </w:t>
      </w:r>
      <w:r w:rsidR="00B80582" w:rsidRPr="00117156">
        <w:rPr>
          <w:rFonts w:cs="Calibri"/>
          <w:bCs/>
          <w:lang w:eastAsia="en-US"/>
        </w:rPr>
        <w:t>období od 01.01.2023 do 31.12.2023</w:t>
      </w:r>
      <w:r w:rsidRPr="00117156">
        <w:rPr>
          <w:rFonts w:cs="Calibri"/>
          <w:bCs/>
          <w:lang w:eastAsia="en-US"/>
        </w:rPr>
        <w:t xml:space="preserve">. </w:t>
      </w:r>
    </w:p>
    <w:p w14:paraId="25003135" w14:textId="797EDCB2" w:rsidR="006D32BF" w:rsidRDefault="00B73680" w:rsidP="004D28EC">
      <w:pPr>
        <w:spacing w:before="120" w:after="120" w:line="240" w:lineRule="auto"/>
        <w:jc w:val="both"/>
        <w:rPr>
          <w:rFonts w:cs="Calibri"/>
          <w:b/>
          <w:bCs/>
          <w:lang w:eastAsia="en-US"/>
        </w:rPr>
      </w:pPr>
      <w:r w:rsidRPr="00117156">
        <w:rPr>
          <w:rFonts w:cs="Calibri"/>
          <w:bCs/>
          <w:lang w:eastAsia="en-US"/>
        </w:rPr>
        <w:t xml:space="preserve">Opatrenia SAFE </w:t>
      </w:r>
      <w:r w:rsidR="00544A84" w:rsidRPr="00117156">
        <w:rPr>
          <w:rFonts w:cs="Calibri"/>
          <w:bCs/>
          <w:lang w:eastAsia="en-US"/>
        </w:rPr>
        <w:t xml:space="preserve">sú </w:t>
      </w:r>
      <w:r w:rsidRPr="00117156">
        <w:rPr>
          <w:rFonts w:cs="Calibri"/>
          <w:bCs/>
          <w:lang w:eastAsia="en-US"/>
        </w:rPr>
        <w:t xml:space="preserve">realizované prostredníctvom </w:t>
      </w:r>
      <w:r w:rsidRPr="00117156">
        <w:rPr>
          <w:rFonts w:cs="Calibri"/>
          <w:b/>
          <w:bCs/>
          <w:lang w:eastAsia="en-US"/>
        </w:rPr>
        <w:t>národných projektov (NP)</w:t>
      </w:r>
      <w:r w:rsidR="006D32BF">
        <w:rPr>
          <w:rFonts w:cs="Calibri"/>
          <w:b/>
          <w:bCs/>
          <w:lang w:eastAsia="en-US"/>
        </w:rPr>
        <w:t xml:space="preserve"> </w:t>
      </w:r>
      <w:r w:rsidR="006D32BF" w:rsidRPr="006D32BF">
        <w:rPr>
          <w:rFonts w:cs="Calibri"/>
          <w:bCs/>
          <w:lang w:eastAsia="en-US"/>
        </w:rPr>
        <w:t>troch operačných programov - OP KŽP, IROP a OPII, kde jediným prijímateľom bude MH SR.</w:t>
      </w:r>
    </w:p>
    <w:p w14:paraId="6F7536F6" w14:textId="77777777" w:rsidR="006D32BF" w:rsidRPr="00D63DB4" w:rsidRDefault="006D32BF" w:rsidP="004D28EC">
      <w:pPr>
        <w:keepNext/>
        <w:spacing w:after="120" w:line="240" w:lineRule="auto"/>
        <w:jc w:val="both"/>
        <w:rPr>
          <w:rFonts w:asciiTheme="minorHAnsi" w:hAnsiTheme="minorHAnsi" w:cstheme="minorHAnsi"/>
          <w:bCs/>
          <w:lang w:eastAsia="en-US"/>
        </w:rPr>
      </w:pPr>
      <w:r w:rsidRPr="00D63DB4">
        <w:rPr>
          <w:rFonts w:asciiTheme="minorHAnsi" w:hAnsiTheme="minorHAnsi" w:cstheme="minorHAnsi"/>
          <w:bCs/>
          <w:lang w:eastAsia="en-US"/>
        </w:rPr>
        <w:t>V</w:t>
      </w:r>
      <w:r w:rsidRPr="00D63DB4">
        <w:rPr>
          <w:rFonts w:asciiTheme="minorHAnsi" w:hAnsiTheme="minorHAnsi" w:cstheme="minorHAnsi"/>
          <w:b/>
          <w:bCs/>
        </w:rPr>
        <w:t> </w:t>
      </w:r>
      <w:r w:rsidRPr="00D63DB4">
        <w:rPr>
          <w:rFonts w:asciiTheme="minorHAnsi" w:hAnsiTheme="minorHAnsi" w:cstheme="minorHAnsi"/>
        </w:rPr>
        <w:t>súčasnosti RO na podporu SAFE avizujú vyčleniť</w:t>
      </w:r>
      <w:r w:rsidRPr="00D63DB4">
        <w:rPr>
          <w:rFonts w:asciiTheme="minorHAnsi" w:hAnsiTheme="minorHAnsi" w:cstheme="minorHAnsi"/>
          <w:b/>
          <w:bCs/>
        </w:rPr>
        <w:t xml:space="preserve"> </w:t>
      </w:r>
      <w:r w:rsidRPr="00D63DB4">
        <w:rPr>
          <w:rFonts w:asciiTheme="minorHAnsi" w:hAnsiTheme="minorHAnsi" w:cstheme="minorHAnsi"/>
          <w:b/>
        </w:rPr>
        <w:t>1,</w:t>
      </w:r>
      <w:r>
        <w:rPr>
          <w:rFonts w:asciiTheme="minorHAnsi" w:hAnsiTheme="minorHAnsi" w:cstheme="minorHAnsi"/>
          <w:b/>
        </w:rPr>
        <w:t>03</w:t>
      </w:r>
      <w:r w:rsidRPr="00D63DB4">
        <w:rPr>
          <w:rFonts w:asciiTheme="minorHAnsi" w:hAnsiTheme="minorHAnsi" w:cstheme="minorHAnsi"/>
          <w:b/>
        </w:rPr>
        <w:t xml:space="preserve"> mld. EUR</w:t>
      </w:r>
      <w:r w:rsidRPr="00D63DB4">
        <w:rPr>
          <w:rFonts w:asciiTheme="minorHAnsi" w:hAnsiTheme="minorHAnsi" w:cstheme="minorHAnsi"/>
        </w:rPr>
        <w:t>, s možnosťou navýšenia až do výšky 1,45 mld. EUR. R</w:t>
      </w:r>
      <w:r w:rsidRPr="00D63DB4">
        <w:rPr>
          <w:rFonts w:asciiTheme="minorHAnsi" w:hAnsiTheme="minorHAnsi" w:cstheme="minorHAnsi"/>
          <w:bCs/>
          <w:lang w:eastAsia="en-US"/>
        </w:rPr>
        <w:t>evízie týchto OP sa uskutočnili/uskutočňujú pod koordináciou MIRRI SR:</w:t>
      </w:r>
    </w:p>
    <w:p w14:paraId="7ECA672F" w14:textId="77777777" w:rsidR="006D32BF" w:rsidRPr="007D1629" w:rsidRDefault="006D32BF" w:rsidP="004D28EC">
      <w:pPr>
        <w:spacing w:after="120" w:line="240" w:lineRule="auto"/>
        <w:ind w:left="703" w:hanging="703"/>
        <w:rPr>
          <w:rFonts w:asciiTheme="minorHAnsi" w:eastAsia="Calibri" w:hAnsiTheme="minorHAnsi" w:cstheme="minorHAnsi"/>
          <w:b/>
          <w:u w:val="single"/>
        </w:rPr>
      </w:pPr>
      <w:r w:rsidRPr="007D1629">
        <w:rPr>
          <w:rFonts w:asciiTheme="minorHAnsi" w:eastAsia="Calibri" w:hAnsiTheme="minorHAnsi" w:cstheme="minorHAnsi"/>
          <w:b/>
          <w:u w:val="single"/>
        </w:rPr>
        <w:t>OP Integrovaná infraštruktúr</w:t>
      </w:r>
      <w:r>
        <w:rPr>
          <w:rFonts w:asciiTheme="minorHAnsi" w:eastAsia="Calibri" w:hAnsiTheme="minorHAnsi" w:cstheme="minorHAnsi"/>
          <w:b/>
          <w:u w:val="single"/>
        </w:rPr>
        <w:t>a (alokácia 574,82 mil. EUR)</w:t>
      </w:r>
    </w:p>
    <w:p w14:paraId="35E584F7" w14:textId="1E3FA327" w:rsidR="006D32BF" w:rsidRDefault="006D32BF" w:rsidP="004D28EC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  <w:b/>
        </w:rPr>
      </w:pPr>
      <w:r w:rsidRPr="00795AC0">
        <w:rPr>
          <w:rFonts w:asciiTheme="minorHAnsi" w:eastAsia="Calibri" w:hAnsiTheme="minorHAnsi" w:cstheme="minorHAnsi"/>
          <w:b/>
        </w:rPr>
        <w:t>revízia schválená EK 16.08.2023</w:t>
      </w:r>
    </w:p>
    <w:p w14:paraId="044FD7DE" w14:textId="77777777" w:rsidR="00C67B8E" w:rsidRPr="00E86927" w:rsidRDefault="00C67B8E" w:rsidP="00C67B8E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k 9.2.2024 odhad na dočerpanie 1,5 mil. EUR </w:t>
      </w:r>
    </w:p>
    <w:p w14:paraId="412ABA31" w14:textId="77777777" w:rsidR="006D32BF" w:rsidRPr="00D63DB4" w:rsidRDefault="006D32BF" w:rsidP="004D28EC">
      <w:pPr>
        <w:keepNext/>
        <w:spacing w:after="120" w:line="240" w:lineRule="auto"/>
        <w:ind w:left="720"/>
        <w:contextualSpacing/>
        <w:jc w:val="both"/>
        <w:rPr>
          <w:rFonts w:asciiTheme="minorHAnsi" w:eastAsia="Calibri" w:hAnsiTheme="minorHAnsi" w:cstheme="minorHAnsi"/>
        </w:rPr>
      </w:pPr>
    </w:p>
    <w:p w14:paraId="1F35C810" w14:textId="594D5E0A" w:rsidR="006D32BF" w:rsidRPr="007D1629" w:rsidRDefault="006D32BF" w:rsidP="004D28EC">
      <w:pPr>
        <w:spacing w:after="120" w:line="240" w:lineRule="auto"/>
        <w:ind w:left="703" w:hanging="703"/>
        <w:rPr>
          <w:rFonts w:asciiTheme="minorHAnsi" w:eastAsia="Calibri" w:hAnsiTheme="minorHAnsi" w:cstheme="minorHAnsi"/>
          <w:b/>
          <w:bCs/>
        </w:rPr>
      </w:pPr>
      <w:r w:rsidRPr="007D1629">
        <w:rPr>
          <w:rFonts w:asciiTheme="minorHAnsi" w:eastAsia="Calibri" w:hAnsiTheme="minorHAnsi" w:cstheme="minorHAnsi"/>
          <w:b/>
          <w:u w:val="single"/>
        </w:rPr>
        <w:t>Integrovaný regionálny o</w:t>
      </w:r>
      <w:r>
        <w:rPr>
          <w:rFonts w:asciiTheme="minorHAnsi" w:eastAsia="Calibri" w:hAnsiTheme="minorHAnsi" w:cstheme="minorHAnsi"/>
          <w:b/>
          <w:u w:val="single"/>
        </w:rPr>
        <w:t>peračný program (alokácia 10</w:t>
      </w:r>
      <w:r w:rsidRPr="007D1629">
        <w:rPr>
          <w:rFonts w:asciiTheme="minorHAnsi" w:eastAsia="Calibri" w:hAnsiTheme="minorHAnsi" w:cstheme="minorHAnsi"/>
          <w:b/>
          <w:u w:val="single"/>
        </w:rPr>
        <w:t xml:space="preserve"> mil. EUR)</w:t>
      </w:r>
    </w:p>
    <w:p w14:paraId="6D48D49E" w14:textId="77777777" w:rsidR="006D32BF" w:rsidRPr="007A4D16" w:rsidRDefault="006D32BF" w:rsidP="004D28EC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  <w:bCs/>
        </w:rPr>
      </w:pPr>
      <w:r w:rsidRPr="007A4D16">
        <w:rPr>
          <w:rFonts w:asciiTheme="minorHAnsi" w:eastAsia="Calibri" w:hAnsiTheme="minorHAnsi" w:cstheme="minorHAnsi"/>
          <w:bCs/>
        </w:rPr>
        <w:t>20.09.2023 schválila EK na SAFE v rámci IROP sumu 76,37 mil. EUR</w:t>
      </w:r>
    </w:p>
    <w:p w14:paraId="1E11A431" w14:textId="233D1194" w:rsidR="006D32BF" w:rsidRDefault="006D32BF" w:rsidP="004D28EC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</w:rPr>
      </w:pPr>
      <w:r w:rsidRPr="007A4D16">
        <w:rPr>
          <w:rFonts w:asciiTheme="minorHAnsi" w:eastAsia="Calibri" w:hAnsiTheme="minorHAnsi" w:cstheme="minorHAnsi"/>
        </w:rPr>
        <w:t xml:space="preserve">15.11.2023 bola na EK odoslaná ďalšia revízia IROP - zníženie alokácie SAFE na 10 mil. EUR </w:t>
      </w:r>
    </w:p>
    <w:p w14:paraId="25D4A9C5" w14:textId="1BAAD50D" w:rsidR="006D32BF" w:rsidRDefault="006D32BF" w:rsidP="004D28EC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  <w:b/>
        </w:rPr>
      </w:pPr>
      <w:r w:rsidRPr="00E86927">
        <w:rPr>
          <w:rFonts w:asciiTheme="minorHAnsi" w:eastAsia="Calibri" w:hAnsiTheme="minorHAnsi" w:cstheme="minorHAnsi"/>
          <w:b/>
        </w:rPr>
        <w:t>revízia schválená EK 11.12.2023</w:t>
      </w:r>
    </w:p>
    <w:p w14:paraId="03BC21BA" w14:textId="5C200275" w:rsidR="00C67B8E" w:rsidRPr="00C67B8E" w:rsidRDefault="00C67B8E" w:rsidP="00C67B8E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k 9.2.2024 odhad na dočerpanie 10 mil. EUR </w:t>
      </w:r>
    </w:p>
    <w:p w14:paraId="6A81A65B" w14:textId="77777777" w:rsidR="006D32BF" w:rsidRPr="00D63DB4" w:rsidRDefault="006D32BF" w:rsidP="004D28EC">
      <w:pPr>
        <w:keepNext/>
        <w:spacing w:after="120" w:line="240" w:lineRule="auto"/>
        <w:ind w:left="720"/>
        <w:contextualSpacing/>
        <w:jc w:val="both"/>
        <w:rPr>
          <w:rFonts w:asciiTheme="minorHAnsi" w:eastAsia="Calibri" w:hAnsiTheme="minorHAnsi" w:cstheme="minorHAnsi"/>
        </w:rPr>
      </w:pPr>
    </w:p>
    <w:p w14:paraId="0AD7EF51" w14:textId="77777777" w:rsidR="006D32BF" w:rsidRPr="00D63DB4" w:rsidRDefault="006D32BF" w:rsidP="004D28EC">
      <w:pPr>
        <w:spacing w:after="120" w:line="240" w:lineRule="auto"/>
        <w:ind w:left="703" w:hanging="703"/>
        <w:rPr>
          <w:rFonts w:asciiTheme="minorHAnsi" w:eastAsia="Calibri" w:hAnsiTheme="minorHAnsi" w:cstheme="minorHAnsi"/>
          <w:b/>
          <w:u w:val="single"/>
        </w:rPr>
      </w:pPr>
      <w:r w:rsidRPr="00D63DB4">
        <w:rPr>
          <w:rFonts w:asciiTheme="minorHAnsi" w:eastAsia="Calibri" w:hAnsiTheme="minorHAnsi" w:cstheme="minorHAnsi"/>
          <w:b/>
          <w:u w:val="single"/>
        </w:rPr>
        <w:t>OP Kvalita životného prostredia (alokácia 4</w:t>
      </w:r>
      <w:r>
        <w:rPr>
          <w:rFonts w:asciiTheme="minorHAnsi" w:eastAsia="Calibri" w:hAnsiTheme="minorHAnsi" w:cstheme="minorHAnsi"/>
          <w:b/>
          <w:u w:val="single"/>
        </w:rPr>
        <w:t>48</w:t>
      </w:r>
      <w:r w:rsidRPr="00D63DB4">
        <w:rPr>
          <w:rFonts w:asciiTheme="minorHAnsi" w:eastAsia="Calibri" w:hAnsiTheme="minorHAnsi" w:cstheme="minorHAnsi"/>
          <w:b/>
          <w:u w:val="single"/>
        </w:rPr>
        <w:t>,</w:t>
      </w:r>
      <w:r>
        <w:rPr>
          <w:rFonts w:asciiTheme="minorHAnsi" w:eastAsia="Calibri" w:hAnsiTheme="minorHAnsi" w:cstheme="minorHAnsi"/>
          <w:b/>
          <w:u w:val="single"/>
        </w:rPr>
        <w:t>91</w:t>
      </w:r>
      <w:r w:rsidRPr="00D63DB4">
        <w:rPr>
          <w:rFonts w:asciiTheme="minorHAnsi" w:eastAsia="Calibri" w:hAnsiTheme="minorHAnsi" w:cstheme="minorHAnsi"/>
          <w:b/>
          <w:u w:val="single"/>
        </w:rPr>
        <w:t xml:space="preserve"> mil. EUR)</w:t>
      </w:r>
    </w:p>
    <w:p w14:paraId="3FC75633" w14:textId="77777777" w:rsidR="00E858C1" w:rsidRPr="00D63DB4" w:rsidRDefault="00E858C1" w:rsidP="004D28EC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  <w:bCs/>
        </w:rPr>
      </w:pPr>
      <w:r w:rsidRPr="00D63DB4">
        <w:rPr>
          <w:rFonts w:asciiTheme="minorHAnsi" w:eastAsia="Calibri" w:hAnsiTheme="minorHAnsi" w:cstheme="minorHAnsi"/>
          <w:bCs/>
        </w:rPr>
        <w:t>revízia 30.03.2023 schválená MV pre OP KŽP</w:t>
      </w:r>
    </w:p>
    <w:p w14:paraId="5D42ADFB" w14:textId="77777777" w:rsidR="00E858C1" w:rsidRPr="00C02E6F" w:rsidRDefault="00E858C1" w:rsidP="004D28EC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hAnsiTheme="minorHAnsi" w:cstheme="minorHAnsi"/>
          <w:bCs/>
          <w:lang w:eastAsia="en-US"/>
        </w:rPr>
        <w:t xml:space="preserve">18.09.2023 </w:t>
      </w:r>
      <w:r w:rsidRPr="00D63DB4">
        <w:rPr>
          <w:rFonts w:asciiTheme="minorHAnsi" w:eastAsia="Calibri" w:hAnsiTheme="minorHAnsi" w:cstheme="minorHAnsi"/>
        </w:rPr>
        <w:t>odoslaná prostredníctvom SFC2014 na EK</w:t>
      </w:r>
    </w:p>
    <w:p w14:paraId="62194CA6" w14:textId="07F7FD5C" w:rsidR="00E858C1" w:rsidRPr="00726935" w:rsidRDefault="00E858C1" w:rsidP="004D28EC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hAnsiTheme="minorHAnsi" w:cstheme="minorHAnsi"/>
          <w:bCs/>
          <w:lang w:eastAsia="en-US"/>
        </w:rPr>
      </w:pPr>
      <w:r>
        <w:rPr>
          <w:rFonts w:asciiTheme="minorHAnsi" w:eastAsia="Calibri" w:hAnsiTheme="minorHAnsi" w:cstheme="minorHAnsi"/>
        </w:rPr>
        <w:t xml:space="preserve">18.10.2023 vrátená na zmenu spolu s oficiálnymi pripomienkami EK </w:t>
      </w:r>
      <w:r w:rsidR="006C7EBB">
        <w:rPr>
          <w:rFonts w:asciiTheme="minorHAnsi" w:eastAsia="Calibri" w:hAnsiTheme="minorHAnsi" w:cstheme="minorHAnsi"/>
        </w:rPr>
        <w:t xml:space="preserve">– </w:t>
      </w:r>
      <w:r>
        <w:rPr>
          <w:rFonts w:asciiTheme="minorHAnsi" w:eastAsia="Calibri" w:hAnsiTheme="minorHAnsi" w:cstheme="minorHAnsi"/>
        </w:rPr>
        <w:t>EK schválenie revízie podmie</w:t>
      </w:r>
      <w:r w:rsidR="009426D8">
        <w:rPr>
          <w:rFonts w:asciiTheme="minorHAnsi" w:eastAsia="Calibri" w:hAnsiTheme="minorHAnsi" w:cstheme="minorHAnsi"/>
        </w:rPr>
        <w:t>nila</w:t>
      </w:r>
      <w:r>
        <w:rPr>
          <w:rFonts w:asciiTheme="minorHAnsi" w:eastAsia="Calibri" w:hAnsiTheme="minorHAnsi" w:cstheme="minorHAnsi"/>
        </w:rPr>
        <w:t xml:space="preserve"> politickým záväzkom na úrovni vlády SR v súvislosti s kompenzovaním zníženia financovania environmentálnych opatrení najmä </w:t>
      </w:r>
      <w:r w:rsidRPr="00BD422A">
        <w:rPr>
          <w:rFonts w:asciiTheme="minorHAnsi" w:eastAsia="Calibri" w:hAnsiTheme="minorHAnsi" w:cstheme="minorHAnsi"/>
        </w:rPr>
        <w:t>v oblasti vodného a odpadového hospodárstva</w:t>
      </w:r>
      <w:r>
        <w:rPr>
          <w:rFonts w:asciiTheme="minorHAnsi" w:eastAsia="Calibri" w:hAnsiTheme="minorHAnsi" w:cstheme="minorHAnsi"/>
        </w:rPr>
        <w:t xml:space="preserve">, kvality ovzdušia, ochrany prírody a biodiverzity a využitím služieb </w:t>
      </w:r>
      <w:proofErr w:type="spellStart"/>
      <w:r>
        <w:rPr>
          <w:rFonts w:asciiTheme="minorHAnsi" w:eastAsia="Calibri" w:hAnsiTheme="minorHAnsi" w:cstheme="minorHAnsi"/>
        </w:rPr>
        <w:t>Jaspers</w:t>
      </w:r>
      <w:proofErr w:type="spellEnd"/>
      <w:r>
        <w:rPr>
          <w:rFonts w:asciiTheme="minorHAnsi" w:eastAsia="Calibri" w:hAnsiTheme="minorHAnsi" w:cstheme="minorHAnsi"/>
        </w:rPr>
        <w:t xml:space="preserve"> pre zlepšenie budúcej implementácie týchto opatrení</w:t>
      </w:r>
    </w:p>
    <w:p w14:paraId="56A4626B" w14:textId="77777777" w:rsidR="00C67B8E" w:rsidRPr="00C67B8E" w:rsidRDefault="00E858C1" w:rsidP="00B42122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  <w:b/>
        </w:rPr>
      </w:pPr>
      <w:r w:rsidRPr="00C67B8E">
        <w:rPr>
          <w:rFonts w:asciiTheme="minorHAnsi" w:eastAsia="Calibri" w:hAnsiTheme="minorHAnsi" w:cstheme="minorHAnsi"/>
        </w:rPr>
        <w:t>25.10.2023 požadované dokumenty zaslané cez SFC na EK</w:t>
      </w:r>
    </w:p>
    <w:p w14:paraId="6AA383C5" w14:textId="7EFF0F86" w:rsidR="006D32BF" w:rsidRDefault="00E858C1" w:rsidP="00B42122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  <w:b/>
        </w:rPr>
      </w:pPr>
      <w:r w:rsidRPr="00C67B8E">
        <w:rPr>
          <w:rFonts w:asciiTheme="minorHAnsi" w:eastAsia="Calibri" w:hAnsiTheme="minorHAnsi" w:cstheme="minorHAnsi"/>
          <w:b/>
        </w:rPr>
        <w:t>revízia schválená EK 27.11.2023</w:t>
      </w:r>
    </w:p>
    <w:p w14:paraId="1A038A22" w14:textId="1F34CB7F" w:rsidR="00C67B8E" w:rsidRPr="00C67B8E" w:rsidRDefault="00C67B8E" w:rsidP="00C67B8E">
      <w:pPr>
        <w:keepNext/>
        <w:numPr>
          <w:ilvl w:val="0"/>
          <w:numId w:val="11"/>
        </w:numPr>
        <w:suppressAutoHyphens w:val="0"/>
        <w:spacing w:after="120" w:line="240" w:lineRule="auto"/>
        <w:contextualSpacing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 xml:space="preserve">k 9.2.2024 odhad na dočerpanie 427 mil. EUR </w:t>
      </w:r>
    </w:p>
    <w:p w14:paraId="55C07D2E" w14:textId="77777777" w:rsidR="00E858C1" w:rsidRPr="00D63DB4" w:rsidRDefault="00E858C1" w:rsidP="004D28EC">
      <w:pPr>
        <w:keepNext/>
        <w:spacing w:after="120" w:line="240" w:lineRule="auto"/>
        <w:ind w:left="720"/>
        <w:contextualSpacing/>
        <w:jc w:val="both"/>
        <w:rPr>
          <w:rFonts w:asciiTheme="minorHAnsi" w:eastAsia="Calibri" w:hAnsiTheme="minorHAnsi" w:cstheme="minorHAnsi"/>
          <w:bCs/>
        </w:rPr>
      </w:pPr>
    </w:p>
    <w:tbl>
      <w:tblPr>
        <w:tblStyle w:val="Mriekatabuky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9042"/>
      </w:tblGrid>
      <w:tr w:rsidR="006D32BF" w:rsidRPr="00D63DB4" w14:paraId="7745B0D0" w14:textId="77777777" w:rsidTr="00B92229">
        <w:tc>
          <w:tcPr>
            <w:tcW w:w="9042" w:type="dxa"/>
          </w:tcPr>
          <w:p w14:paraId="1E0314E7" w14:textId="6576B18D" w:rsidR="006D32BF" w:rsidRPr="00D63DB4" w:rsidRDefault="006D32BF" w:rsidP="004D28EC">
            <w:pPr>
              <w:tabs>
                <w:tab w:val="left" w:pos="567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63DB4">
              <w:rPr>
                <w:rFonts w:asciiTheme="minorHAnsi" w:hAnsiTheme="minorHAnsi" w:cstheme="minorHAnsi"/>
                <w:b/>
              </w:rPr>
              <w:t>Z dostupnej alokácie 1,</w:t>
            </w:r>
            <w:r>
              <w:rPr>
                <w:rFonts w:asciiTheme="minorHAnsi" w:hAnsiTheme="minorHAnsi" w:cstheme="minorHAnsi"/>
                <w:b/>
              </w:rPr>
              <w:t>03</w:t>
            </w:r>
            <w:r w:rsidRPr="00D63DB4">
              <w:rPr>
                <w:rFonts w:asciiTheme="minorHAnsi" w:hAnsiTheme="minorHAnsi" w:cstheme="minorHAnsi"/>
                <w:b/>
              </w:rPr>
              <w:t xml:space="preserve"> mld. EUR bolo vo vyzvaniach SAFE sprístupnených </w:t>
            </w:r>
            <w:r>
              <w:rPr>
                <w:rFonts w:asciiTheme="minorHAnsi" w:hAnsiTheme="minorHAnsi" w:cstheme="minorHAnsi"/>
                <w:b/>
              </w:rPr>
              <w:t>990,32</w:t>
            </w:r>
            <w:r w:rsidRPr="00D63DB4">
              <w:rPr>
                <w:rFonts w:asciiTheme="minorHAnsi" w:hAnsiTheme="minorHAnsi" w:cstheme="minorHAnsi"/>
                <w:b/>
              </w:rPr>
              <w:t xml:space="preserve"> mil. EUR (</w:t>
            </w:r>
            <w:r>
              <w:rPr>
                <w:rFonts w:asciiTheme="minorHAnsi" w:hAnsiTheme="minorHAnsi" w:cstheme="minorHAnsi"/>
                <w:b/>
              </w:rPr>
              <w:t xml:space="preserve">95,80 %),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zazmluvnených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990,32 mil. EUR (95,80 %) a vyčerpaných 500,08 mil. EUR (48,38</w:t>
            </w:r>
            <w:r w:rsidR="00E858C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%).</w:t>
            </w:r>
          </w:p>
        </w:tc>
      </w:tr>
    </w:tbl>
    <w:p w14:paraId="51EA1697" w14:textId="77777777" w:rsidR="006D32BF" w:rsidRDefault="006D32BF" w:rsidP="004D28EC">
      <w:pPr>
        <w:spacing w:line="240" w:lineRule="auto"/>
        <w:jc w:val="both"/>
        <w:rPr>
          <w:rFonts w:cs="Calibri"/>
          <w:b/>
          <w:bCs/>
          <w:lang w:eastAsia="en-US"/>
        </w:rPr>
      </w:pPr>
    </w:p>
    <w:p w14:paraId="65578FBF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6066B31C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560365AB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1F07E7DC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2388740F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096E3C87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003B1AB6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4ED16013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4B932F51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1D8C9FB1" w14:textId="77777777" w:rsidR="00E824D4" w:rsidRDefault="00E824D4" w:rsidP="004D28EC">
      <w:pPr>
        <w:spacing w:line="240" w:lineRule="auto"/>
        <w:rPr>
          <w:rFonts w:cs="Calibri"/>
          <w:b/>
        </w:rPr>
      </w:pPr>
    </w:p>
    <w:p w14:paraId="5C03BD5C" w14:textId="7BA5AA8B" w:rsidR="00B73680" w:rsidRPr="00117156" w:rsidRDefault="00B73680" w:rsidP="004D28EC">
      <w:pPr>
        <w:spacing w:line="240" w:lineRule="auto"/>
        <w:rPr>
          <w:rFonts w:cs="Calibri"/>
          <w:b/>
        </w:rPr>
      </w:pPr>
      <w:r w:rsidRPr="00117156">
        <w:rPr>
          <w:rFonts w:cs="Calibri"/>
          <w:b/>
        </w:rPr>
        <w:lastRenderedPageBreak/>
        <w:t xml:space="preserve">Tabuľka č. </w:t>
      </w:r>
      <w:r w:rsidR="00C67B8E">
        <w:rPr>
          <w:rFonts w:cs="Calibri"/>
          <w:b/>
        </w:rPr>
        <w:t>5</w:t>
      </w:r>
      <w:r w:rsidRPr="00117156">
        <w:rPr>
          <w:rFonts w:cs="Calibri"/>
          <w:b/>
        </w:rPr>
        <w:t xml:space="preserve">: Prehľad </w:t>
      </w:r>
      <w:r w:rsidR="0016345E">
        <w:rPr>
          <w:rFonts w:cs="Calibri"/>
          <w:b/>
        </w:rPr>
        <w:t>implementácie SAFE k 09.02.2024</w:t>
      </w:r>
      <w:r w:rsidRPr="00117156">
        <w:rPr>
          <w:rFonts w:cs="Calibri"/>
          <w:b/>
        </w:rPr>
        <w:t xml:space="preserve"> </w:t>
      </w:r>
    </w:p>
    <w:p w14:paraId="7A7A5DAB" w14:textId="76711B9A" w:rsidR="0016345E" w:rsidRPr="00117156" w:rsidRDefault="0016345E" w:rsidP="004D28EC">
      <w:pPr>
        <w:spacing w:line="240" w:lineRule="auto"/>
        <w:rPr>
          <w:rFonts w:cs="Calibri"/>
          <w:b/>
        </w:rPr>
      </w:pPr>
      <w:r w:rsidRPr="0016345E">
        <w:rPr>
          <w:noProof/>
          <w:lang w:eastAsia="sk-SK"/>
        </w:rPr>
        <w:drawing>
          <wp:inline distT="0" distB="0" distL="0" distR="0" wp14:anchorId="331DD13D" wp14:editId="25619643">
            <wp:extent cx="6155055" cy="1790700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331" cy="179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9ADBC" w14:textId="798D871F" w:rsidR="00AE51C2" w:rsidRDefault="00B73680" w:rsidP="004D28EC">
      <w:pPr>
        <w:spacing w:line="240" w:lineRule="auto"/>
        <w:rPr>
          <w:rFonts w:cs="Calibri"/>
          <w:i/>
          <w:sz w:val="18"/>
          <w:szCs w:val="18"/>
        </w:rPr>
      </w:pPr>
      <w:r w:rsidRPr="00B42122">
        <w:rPr>
          <w:rFonts w:cs="Calibri"/>
          <w:i/>
          <w:sz w:val="18"/>
          <w:szCs w:val="18"/>
        </w:rPr>
        <w:t xml:space="preserve">Zdroj: </w:t>
      </w:r>
      <w:r w:rsidR="00E858C1" w:rsidRPr="00B42122">
        <w:rPr>
          <w:rFonts w:cs="Calibri"/>
          <w:i/>
          <w:sz w:val="18"/>
          <w:szCs w:val="18"/>
        </w:rPr>
        <w:t>ITMS2014+,</w:t>
      </w:r>
      <w:r w:rsidRPr="00B42122">
        <w:rPr>
          <w:rFonts w:cs="Calibri"/>
          <w:i/>
          <w:sz w:val="18"/>
          <w:szCs w:val="18"/>
        </w:rPr>
        <w:t>Certifikačný orgán (MF SR), RO</w:t>
      </w:r>
      <w:bookmarkEnd w:id="14"/>
      <w:bookmarkEnd w:id="15"/>
    </w:p>
    <w:p w14:paraId="5652146D" w14:textId="77777777" w:rsidR="005C1B8C" w:rsidRDefault="005C1B8C" w:rsidP="005C1B8C">
      <w:pPr>
        <w:spacing w:after="120" w:line="240" w:lineRule="auto"/>
        <w:jc w:val="both"/>
        <w:rPr>
          <w:rFonts w:cs="Calibri"/>
          <w:i/>
        </w:rPr>
      </w:pPr>
    </w:p>
    <w:p w14:paraId="2260F160" w14:textId="23F2A134" w:rsidR="005C1B8C" w:rsidRPr="005C1B8C" w:rsidRDefault="00B42122" w:rsidP="002E189D">
      <w:pPr>
        <w:spacing w:before="120" w:line="240" w:lineRule="auto"/>
        <w:jc w:val="both"/>
        <w:rPr>
          <w:rFonts w:cs="Calibri"/>
          <w:bCs/>
          <w:lang w:eastAsia="en-US"/>
        </w:rPr>
      </w:pPr>
      <w:r w:rsidRPr="005C1B8C">
        <w:rPr>
          <w:rFonts w:cs="Calibri"/>
          <w:b/>
          <w:bCs/>
          <w:lang w:eastAsia="en-US"/>
        </w:rPr>
        <w:t xml:space="preserve">Podľa odhadov jednotlivých RO zostáva na </w:t>
      </w:r>
      <w:proofErr w:type="spellStart"/>
      <w:r w:rsidRPr="005C1B8C">
        <w:rPr>
          <w:rFonts w:cs="Calibri"/>
          <w:b/>
          <w:bCs/>
          <w:lang w:eastAsia="en-US"/>
        </w:rPr>
        <w:t>energokrízu</w:t>
      </w:r>
      <w:proofErr w:type="spellEnd"/>
      <w:r w:rsidRPr="005C1B8C">
        <w:rPr>
          <w:rFonts w:cs="Calibri"/>
          <w:b/>
          <w:bCs/>
          <w:lang w:eastAsia="en-US"/>
        </w:rPr>
        <w:t xml:space="preserve"> dočerpať cca 438,5 mil. EUR</w:t>
      </w:r>
      <w:r w:rsidRPr="005C1B8C">
        <w:rPr>
          <w:rFonts w:cs="Calibri"/>
          <w:bCs/>
          <w:lang w:eastAsia="en-US"/>
        </w:rPr>
        <w:t xml:space="preserve"> (OP II 1,5 mil. EUR, IROP 10 mil. EUR, OP KŽP 427 mil. EUR). </w:t>
      </w:r>
      <w:r w:rsidR="005C1B8C" w:rsidRPr="005C1B8C">
        <w:rPr>
          <w:rFonts w:cs="Calibri"/>
          <w:bCs/>
          <w:lang w:eastAsia="en-US"/>
        </w:rPr>
        <w:t>Odhadovaná suma na dočerpanie bude predmetom rokovania pracovnej skupiny SAFE dňa 22.02.2024.</w:t>
      </w:r>
    </w:p>
    <w:p w14:paraId="7EE9949A" w14:textId="1716F776" w:rsidR="00B42122" w:rsidRPr="005C1B8C" w:rsidRDefault="00B42122" w:rsidP="00B42122">
      <w:pPr>
        <w:spacing w:after="120" w:line="240" w:lineRule="auto"/>
        <w:jc w:val="both"/>
        <w:rPr>
          <w:rFonts w:cs="Calibri"/>
          <w:bCs/>
          <w:lang w:eastAsia="en-US"/>
        </w:rPr>
      </w:pPr>
    </w:p>
    <w:p w14:paraId="4585AF0A" w14:textId="77777777" w:rsidR="00B42122" w:rsidRPr="00B42122" w:rsidRDefault="00B42122" w:rsidP="004D28EC">
      <w:pPr>
        <w:spacing w:line="240" w:lineRule="auto"/>
        <w:rPr>
          <w:sz w:val="18"/>
          <w:szCs w:val="18"/>
        </w:rPr>
      </w:pPr>
    </w:p>
    <w:p w14:paraId="783EA4E4" w14:textId="5A613BA0" w:rsidR="00BF65E8" w:rsidRPr="00117156" w:rsidRDefault="00BF65E8" w:rsidP="004D28EC">
      <w:pPr>
        <w:suppressAutoHyphens w:val="0"/>
        <w:spacing w:after="160" w:line="240" w:lineRule="auto"/>
        <w:rPr>
          <w:rFonts w:eastAsiaTheme="minorHAnsi" w:cs="Calibri"/>
          <w:lang w:eastAsia="en-US"/>
        </w:rPr>
      </w:pPr>
      <w:r w:rsidRPr="00117156">
        <w:rPr>
          <w:rFonts w:cs="Calibri"/>
        </w:rPr>
        <w:br w:type="page"/>
      </w:r>
    </w:p>
    <w:p w14:paraId="68A89DC9" w14:textId="43FDD9A3" w:rsidR="00BF65E8" w:rsidRDefault="00BF65E8" w:rsidP="004D28EC">
      <w:pPr>
        <w:pStyle w:val="Nadpis1"/>
        <w:numPr>
          <w:ilvl w:val="0"/>
          <w:numId w:val="1"/>
        </w:numPr>
        <w:suppressAutoHyphens w:val="0"/>
        <w:spacing w:before="120" w:after="120" w:line="240" w:lineRule="auto"/>
        <w:jc w:val="both"/>
        <w:rPr>
          <w:rFonts w:ascii="Calibri" w:eastAsia="Times New Roman" w:hAnsi="Calibri" w:cs="Calibri"/>
          <w:b/>
          <w:color w:val="0055A1"/>
          <w:sz w:val="28"/>
          <w:szCs w:val="28"/>
        </w:rPr>
      </w:pPr>
      <w:bookmarkStart w:id="18" w:name="_Toc158989290"/>
      <w:r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lastRenderedPageBreak/>
        <w:t>Implementácia Programu Slovensko 2021</w:t>
      </w:r>
      <w:r w:rsidR="00B2385E"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 xml:space="preserve"> – </w:t>
      </w:r>
      <w:r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>2027 k </w:t>
      </w:r>
      <w:r w:rsidR="004C4D1E">
        <w:rPr>
          <w:rFonts w:ascii="Calibri" w:eastAsia="Times New Roman" w:hAnsi="Calibri" w:cs="Calibri"/>
          <w:b/>
          <w:color w:val="0055A1"/>
          <w:sz w:val="28"/>
          <w:szCs w:val="28"/>
        </w:rPr>
        <w:t>09</w:t>
      </w:r>
      <w:r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>.</w:t>
      </w:r>
      <w:r w:rsidR="004C4D1E">
        <w:rPr>
          <w:rFonts w:ascii="Calibri" w:eastAsia="Times New Roman" w:hAnsi="Calibri" w:cs="Calibri"/>
          <w:b/>
          <w:color w:val="0055A1"/>
          <w:sz w:val="28"/>
          <w:szCs w:val="28"/>
        </w:rPr>
        <w:t>02</w:t>
      </w:r>
      <w:r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>.202</w:t>
      </w:r>
      <w:r w:rsidR="004C4D1E">
        <w:rPr>
          <w:rFonts w:ascii="Calibri" w:eastAsia="Times New Roman" w:hAnsi="Calibri" w:cs="Calibri"/>
          <w:b/>
          <w:color w:val="0055A1"/>
          <w:sz w:val="28"/>
          <w:szCs w:val="28"/>
        </w:rPr>
        <w:t>4</w:t>
      </w:r>
      <w:bookmarkEnd w:id="18"/>
      <w:r w:rsidRPr="00117156">
        <w:rPr>
          <w:rFonts w:ascii="Calibri" w:eastAsia="Times New Roman" w:hAnsi="Calibri" w:cs="Calibri"/>
          <w:b/>
          <w:color w:val="0055A1"/>
          <w:sz w:val="28"/>
          <w:szCs w:val="28"/>
        </w:rPr>
        <w:t xml:space="preserve"> </w:t>
      </w:r>
    </w:p>
    <w:p w14:paraId="1FC266F0" w14:textId="77777777" w:rsidR="00293EEF" w:rsidRPr="00293EEF" w:rsidRDefault="00293EEF" w:rsidP="004D28EC">
      <w:pPr>
        <w:spacing w:line="240" w:lineRule="auto"/>
      </w:pPr>
    </w:p>
    <w:p w14:paraId="58C32CFD" w14:textId="5494AFB3" w:rsidR="00BF65E8" w:rsidRPr="008F414E" w:rsidRDefault="00293EEF" w:rsidP="004D28EC">
      <w:pPr>
        <w:pStyle w:val="Nadpis2"/>
        <w:keepNext w:val="0"/>
        <w:keepLines w:val="0"/>
        <w:numPr>
          <w:ilvl w:val="1"/>
          <w:numId w:val="1"/>
        </w:numPr>
        <w:suppressAutoHyphens w:val="0"/>
        <w:spacing w:before="0" w:after="120" w:line="240" w:lineRule="auto"/>
        <w:ind w:left="709" w:hanging="567"/>
        <w:contextualSpacing/>
        <w:jc w:val="both"/>
        <w:rPr>
          <w:rFonts w:ascii="Calibri" w:eastAsia="Times New Roman" w:hAnsi="Calibri" w:cs="Calibri"/>
          <w:b/>
          <w:color w:val="0055A1"/>
        </w:rPr>
      </w:pPr>
      <w:bookmarkStart w:id="19" w:name="_Toc158989291"/>
      <w:r w:rsidRPr="008F414E">
        <w:rPr>
          <w:rFonts w:ascii="Calibri" w:eastAsia="Times New Roman" w:hAnsi="Calibri" w:cs="Calibri"/>
          <w:b/>
          <w:color w:val="0055A1"/>
        </w:rPr>
        <w:t>Základná informácia</w:t>
      </w:r>
      <w:bookmarkEnd w:id="19"/>
      <w:r w:rsidRPr="008F414E">
        <w:rPr>
          <w:rFonts w:ascii="Calibri" w:eastAsia="Times New Roman" w:hAnsi="Calibri" w:cs="Calibri"/>
          <w:b/>
          <w:color w:val="0055A1"/>
        </w:rPr>
        <w:t xml:space="preserve"> </w:t>
      </w:r>
    </w:p>
    <w:p w14:paraId="2D43C5E6" w14:textId="1A1412E0" w:rsidR="007E7600" w:rsidRPr="00117156" w:rsidRDefault="006C7EBB" w:rsidP="004D28EC">
      <w:pPr>
        <w:suppressAutoHyphens w:val="0"/>
        <w:spacing w:before="120"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Program Slovensko 2021 </w:t>
      </w:r>
      <w:r w:rsidR="00AB2665">
        <w:rPr>
          <w:rFonts w:cs="Calibri"/>
          <w:b/>
          <w:color w:val="000000" w:themeColor="text1"/>
        </w:rPr>
        <w:t>–</w:t>
      </w:r>
      <w:r>
        <w:rPr>
          <w:rFonts w:cs="Calibri"/>
          <w:b/>
          <w:color w:val="000000" w:themeColor="text1"/>
        </w:rPr>
        <w:t xml:space="preserve"> 2027</w:t>
      </w:r>
      <w:r w:rsidR="00AB2665">
        <w:rPr>
          <w:rFonts w:cs="Calibri"/>
          <w:b/>
          <w:color w:val="000000" w:themeColor="text1"/>
        </w:rPr>
        <w:t xml:space="preserve"> (ďalej len „</w:t>
      </w:r>
      <w:r w:rsidR="00F240DA">
        <w:rPr>
          <w:rFonts w:cs="Calibri"/>
          <w:b/>
          <w:color w:val="000000" w:themeColor="text1"/>
        </w:rPr>
        <w:t xml:space="preserve">P SK </w:t>
      </w:r>
      <w:r w:rsidR="007E7600" w:rsidRPr="00117156">
        <w:rPr>
          <w:rFonts w:cs="Calibri"/>
          <w:b/>
          <w:color w:val="000000" w:themeColor="text1"/>
        </w:rPr>
        <w:t>2021 – 2027</w:t>
      </w:r>
      <w:r w:rsidR="00AB2665">
        <w:rPr>
          <w:rFonts w:cs="Calibri"/>
          <w:b/>
          <w:color w:val="000000" w:themeColor="text1"/>
        </w:rPr>
        <w:t>“)</w:t>
      </w:r>
      <w:r w:rsidR="007E7600" w:rsidRPr="00117156">
        <w:rPr>
          <w:rFonts w:cs="Calibri"/>
          <w:b/>
          <w:color w:val="000000" w:themeColor="text1"/>
        </w:rPr>
        <w:t xml:space="preserve"> je investičným nástrojom pre rast životnej úrovne obyvateľov a zvyšovanie konkurencieschopnosti Slovenskej republiky. Program stanovuje podmienky pre využitie finančných prostriedkov politiky súdržnosti Európskej únie v</w:t>
      </w:r>
      <w:r w:rsidR="00AB2665">
        <w:rPr>
          <w:rFonts w:cs="Calibri"/>
          <w:b/>
          <w:color w:val="000000" w:themeColor="text1"/>
        </w:rPr>
        <w:t> </w:t>
      </w:r>
      <w:r w:rsidR="007E7600" w:rsidRPr="00117156">
        <w:rPr>
          <w:rFonts w:cs="Calibri"/>
          <w:b/>
          <w:color w:val="000000" w:themeColor="text1"/>
        </w:rPr>
        <w:t>Slovenskej republike na programové obdobie 2021 – 2027.</w:t>
      </w:r>
      <w:r w:rsidR="007E7600" w:rsidRPr="00117156">
        <w:rPr>
          <w:rFonts w:cs="Calibri"/>
          <w:color w:val="000000" w:themeColor="text1"/>
        </w:rPr>
        <w:t xml:space="preserve"> Prostredníctvom programu sa realizujú investície z Európskeho fondu regionálneho rozvoja, Európskeho sociálneho fondu plus, Kohézneho fondu a Fondu na spravodlivú transformáciu. Program tak nahrádza doterajších 6 operačných programov Slovenskej republiky pre fondy EÚ na obdobie 2014 – 2020 pre cieľ Investovanie do rastu a</w:t>
      </w:r>
      <w:r w:rsidR="00AB2665">
        <w:rPr>
          <w:rFonts w:cs="Calibri"/>
          <w:color w:val="000000" w:themeColor="text1"/>
        </w:rPr>
        <w:t> </w:t>
      </w:r>
      <w:r w:rsidR="007E7600" w:rsidRPr="00117156">
        <w:rPr>
          <w:rFonts w:cs="Calibri"/>
          <w:color w:val="000000" w:themeColor="text1"/>
        </w:rPr>
        <w:t>zamestnanosti.</w:t>
      </w:r>
    </w:p>
    <w:p w14:paraId="1C0BD2D0" w14:textId="498ABD18" w:rsidR="007E7600" w:rsidRDefault="007E7600" w:rsidP="004D28EC">
      <w:pPr>
        <w:spacing w:before="120" w:line="240" w:lineRule="auto"/>
        <w:jc w:val="both"/>
        <w:rPr>
          <w:rFonts w:cs="Calibri"/>
          <w:lang w:eastAsia="en-US"/>
        </w:rPr>
      </w:pPr>
      <w:r w:rsidRPr="00117156">
        <w:rPr>
          <w:rFonts w:cs="Calibri"/>
        </w:rPr>
        <w:t xml:space="preserve">V rámci P SK </w:t>
      </w:r>
      <w:r w:rsidR="00F240DA">
        <w:rPr>
          <w:rFonts w:cs="Calibri"/>
        </w:rPr>
        <w:t>2021</w:t>
      </w:r>
      <w:r w:rsidR="008F414E">
        <w:rPr>
          <w:rFonts w:cs="Calibri"/>
        </w:rPr>
        <w:t xml:space="preserve"> – </w:t>
      </w:r>
      <w:r w:rsidR="00F240DA">
        <w:rPr>
          <w:rFonts w:cs="Calibri"/>
        </w:rPr>
        <w:t xml:space="preserve">2027 </w:t>
      </w:r>
      <w:r w:rsidRPr="00117156">
        <w:rPr>
          <w:rFonts w:cs="Calibri"/>
        </w:rPr>
        <w:t>sa podarilo presadiť, že 2,3</w:t>
      </w:r>
      <w:r w:rsidR="00B45D45">
        <w:rPr>
          <w:rFonts w:cs="Calibri"/>
        </w:rPr>
        <w:t>6</w:t>
      </w:r>
      <w:r w:rsidRPr="00117156">
        <w:rPr>
          <w:rFonts w:cs="Calibri"/>
        </w:rPr>
        <w:t xml:space="preserve"> m</w:t>
      </w:r>
      <w:r w:rsidR="001767F7">
        <w:rPr>
          <w:rFonts w:cs="Calibri"/>
        </w:rPr>
        <w:t>ld. EUR z celkovej obálky 12,59</w:t>
      </w:r>
      <w:r w:rsidRPr="00117156">
        <w:rPr>
          <w:rFonts w:cs="Calibri"/>
        </w:rPr>
        <w:t xml:space="preserve"> mld. EUR (t.</w:t>
      </w:r>
      <w:r w:rsidR="00AB2665">
        <w:rPr>
          <w:rFonts w:cs="Calibri"/>
        </w:rPr>
        <w:t> </w:t>
      </w:r>
      <w:r w:rsidRPr="00117156">
        <w:rPr>
          <w:rFonts w:cs="Calibri"/>
        </w:rPr>
        <w:t>j.</w:t>
      </w:r>
      <w:r w:rsidR="00AB2665">
        <w:rPr>
          <w:rFonts w:cs="Calibri"/>
        </w:rPr>
        <w:t> </w:t>
      </w:r>
      <w:r w:rsidRPr="00117156">
        <w:rPr>
          <w:rFonts w:cs="Calibri"/>
        </w:rPr>
        <w:t>18,</w:t>
      </w:r>
      <w:r w:rsidR="00B45D45">
        <w:rPr>
          <w:rFonts w:cs="Calibri"/>
        </w:rPr>
        <w:t>7</w:t>
      </w:r>
      <w:r w:rsidRPr="00117156">
        <w:rPr>
          <w:rFonts w:cs="Calibri"/>
        </w:rPr>
        <w:t xml:space="preserve"> %) je realizovaných cez </w:t>
      </w:r>
      <w:r w:rsidRPr="00117156">
        <w:rPr>
          <w:rFonts w:cs="Calibri"/>
          <w:b/>
        </w:rPr>
        <w:t>mechanizmus integrovaných územných investícií (IÚI).</w:t>
      </w:r>
      <w:r w:rsidRPr="00117156">
        <w:rPr>
          <w:rFonts w:cs="Calibri"/>
        </w:rPr>
        <w:t xml:space="preserve"> Ide o pilotný prístup viacúrovňového strategického plánovania a </w:t>
      </w:r>
      <w:proofErr w:type="spellStart"/>
      <w:r w:rsidRPr="00117156">
        <w:rPr>
          <w:rFonts w:cs="Calibri"/>
        </w:rPr>
        <w:t>prioritizácie</w:t>
      </w:r>
      <w:proofErr w:type="spellEnd"/>
      <w:r w:rsidRPr="00117156">
        <w:rPr>
          <w:rFonts w:cs="Calibri"/>
        </w:rPr>
        <w:t xml:space="preserve"> investičnej podpory v území podľa príkladov dobrej praxe v ostatných členských štátov EÚ. Dopytovú súťaž samospráv po prvýkrát na</w:t>
      </w:r>
      <w:r w:rsidR="00AB2665">
        <w:rPr>
          <w:rFonts w:cs="Calibri"/>
        </w:rPr>
        <w:t> </w:t>
      </w:r>
      <w:r w:rsidRPr="00117156">
        <w:rPr>
          <w:rFonts w:cs="Calibri"/>
        </w:rPr>
        <w:t xml:space="preserve">Slovensku nahrádza motivácia územných partnerov spoločne identifikovať kľúčové strategické rozvojové investície, pri ktorých sú územná dohoda o potrebe investície a pripravenosť projektov dôležité princípy. </w:t>
      </w:r>
      <w:r w:rsidRPr="00117156">
        <w:rPr>
          <w:rFonts w:cs="Calibri"/>
          <w:lang w:eastAsia="en-US"/>
        </w:rPr>
        <w:t xml:space="preserve">Cieľom IÚI je umožniť riešiť výzvy rôznorodých území komplexne. Je na každej Rade partnerstva a Kooperačnej rade pre udržateľný mestský rozvoj, aby vybrala a zrealizovala projektové zámery s najväčším príspevkom k riešeniu hlavných územných výziev a špecifických potrieb identifikovaných v ich schválených integrovaných územných stratégiách. </w:t>
      </w:r>
    </w:p>
    <w:p w14:paraId="4ACF8458" w14:textId="77777777" w:rsidR="001C2CEB" w:rsidRDefault="001C2CEB" w:rsidP="004D28EC">
      <w:pPr>
        <w:suppressAutoHyphens w:val="0"/>
        <w:spacing w:line="240" w:lineRule="auto"/>
        <w:jc w:val="both"/>
        <w:rPr>
          <w:rFonts w:cs="Calibri"/>
          <w:b/>
          <w:bCs/>
        </w:rPr>
      </w:pPr>
    </w:p>
    <w:p w14:paraId="7CAFDEDC" w14:textId="731A6D80" w:rsidR="001C2CEB" w:rsidRPr="00117156" w:rsidRDefault="001C2CEB" w:rsidP="004D28EC">
      <w:pPr>
        <w:suppressAutoHyphens w:val="0"/>
        <w:spacing w:line="240" w:lineRule="auto"/>
        <w:jc w:val="both"/>
        <w:rPr>
          <w:rFonts w:cs="Calibri"/>
        </w:rPr>
      </w:pPr>
      <w:r w:rsidRPr="00117156">
        <w:rPr>
          <w:rFonts w:cs="Calibri"/>
          <w:b/>
          <w:bCs/>
        </w:rPr>
        <w:t>Riadiacim orgánom</w:t>
      </w:r>
      <w:r w:rsidRPr="00117156">
        <w:rPr>
          <w:rFonts w:cs="Calibri"/>
          <w:bCs/>
        </w:rPr>
        <w:t xml:space="preserve"> P SK 2021 – 2027 je </w:t>
      </w:r>
      <w:r w:rsidRPr="00117156">
        <w:rPr>
          <w:rFonts w:cs="Calibri"/>
          <w:b/>
          <w:bCs/>
        </w:rPr>
        <w:t>MIRRI SR</w:t>
      </w:r>
      <w:r w:rsidRPr="00117156">
        <w:rPr>
          <w:rFonts w:cs="Calibri"/>
          <w:bCs/>
        </w:rPr>
        <w:t xml:space="preserve">. Časť výkonu úloh, ktorými sú najmä vyhlasovanie výziev a výber projektov, delegoval riadiaci orgán na </w:t>
      </w:r>
      <w:r w:rsidRPr="00117156">
        <w:rPr>
          <w:rFonts w:cs="Calibri"/>
          <w:b/>
          <w:bCs/>
        </w:rPr>
        <w:t>10 sprostredkovateľských orgánov</w:t>
      </w:r>
      <w:r w:rsidRPr="00117156">
        <w:rPr>
          <w:rFonts w:cs="Calibri"/>
        </w:rPr>
        <w:t>: MD SR, MPSVR SR, MŽP SR, MŠVV</w:t>
      </w:r>
      <w:r w:rsidR="00AB2665">
        <w:rPr>
          <w:rFonts w:cs="Calibri"/>
        </w:rPr>
        <w:t>M</w:t>
      </w:r>
      <w:r w:rsidRPr="00117156">
        <w:rPr>
          <w:rFonts w:cs="Calibri"/>
        </w:rPr>
        <w:t xml:space="preserve"> SR, MH</w:t>
      </w:r>
      <w:r w:rsidR="00AB2665">
        <w:rPr>
          <w:rFonts w:cs="Calibri"/>
        </w:rPr>
        <w:t xml:space="preserve"> </w:t>
      </w:r>
      <w:r w:rsidRPr="00117156">
        <w:rPr>
          <w:rFonts w:cs="Calibri"/>
        </w:rPr>
        <w:t>SR, SIEA, ÚV SR (za oblasť podpory pre marginalizované rómske komunity), MZ SR, MV SR a ÚVO (výkon kontroly verejného obstarávania).</w:t>
      </w:r>
    </w:p>
    <w:p w14:paraId="0205870D" w14:textId="77777777" w:rsidR="001C2CEB" w:rsidRPr="00117156" w:rsidRDefault="001C2CEB" w:rsidP="004D28EC">
      <w:pPr>
        <w:suppressAutoHyphens w:val="0"/>
        <w:spacing w:line="240" w:lineRule="auto"/>
        <w:jc w:val="both"/>
        <w:rPr>
          <w:rFonts w:cs="Calibri"/>
        </w:rPr>
      </w:pPr>
    </w:p>
    <w:p w14:paraId="291AAB35" w14:textId="26B9C87C" w:rsidR="001C2CEB" w:rsidRPr="00117156" w:rsidRDefault="001C2CEB" w:rsidP="004D28EC">
      <w:pPr>
        <w:suppressAutoHyphens w:val="0"/>
        <w:spacing w:line="240" w:lineRule="auto"/>
        <w:jc w:val="both"/>
        <w:rPr>
          <w:rFonts w:eastAsiaTheme="minorHAnsi" w:cs="Calibri"/>
          <w:b/>
          <w:lang w:eastAsia="en-US"/>
        </w:rPr>
      </w:pPr>
      <w:r w:rsidRPr="00117156">
        <w:rPr>
          <w:rFonts w:eastAsiaTheme="minorHAnsi" w:cs="Calibri"/>
          <w:b/>
          <w:lang w:eastAsia="en-US"/>
        </w:rPr>
        <w:t>Tabuľka č.</w:t>
      </w:r>
      <w:r w:rsidR="004D28EC">
        <w:rPr>
          <w:rFonts w:eastAsiaTheme="minorHAnsi" w:cs="Calibri"/>
          <w:b/>
          <w:lang w:eastAsia="en-US"/>
        </w:rPr>
        <w:t xml:space="preserve"> </w:t>
      </w:r>
      <w:r w:rsidR="00E824D4">
        <w:rPr>
          <w:rFonts w:eastAsiaTheme="minorHAnsi" w:cs="Calibri"/>
          <w:b/>
          <w:lang w:eastAsia="en-US"/>
        </w:rPr>
        <w:t>6</w:t>
      </w:r>
      <w:r w:rsidRPr="00117156">
        <w:rPr>
          <w:rFonts w:eastAsiaTheme="minorHAnsi" w:cs="Calibri"/>
          <w:b/>
          <w:lang w:eastAsia="en-US"/>
        </w:rPr>
        <w:t>: Rozdelenie alokácie Programu Slovensko 2021 – 2027 podľa rezortov (v EUR)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CEB" w:rsidRPr="00117156" w14:paraId="6AC4F1AB" w14:textId="77777777" w:rsidTr="00B273A1">
        <w:tc>
          <w:tcPr>
            <w:tcW w:w="4531" w:type="dxa"/>
            <w:shd w:val="clear" w:color="auto" w:fill="1F4E79" w:themeFill="accent1" w:themeFillShade="80"/>
            <w:vAlign w:val="center"/>
          </w:tcPr>
          <w:p w14:paraId="7F26CD8B" w14:textId="77777777" w:rsidR="001C2CEB" w:rsidRPr="00117156" w:rsidRDefault="001C2CEB" w:rsidP="004D28EC">
            <w:pPr>
              <w:suppressAutoHyphens w:val="0"/>
              <w:spacing w:line="240" w:lineRule="auto"/>
              <w:jc w:val="center"/>
              <w:rPr>
                <w:rFonts w:eastAsiaTheme="minorHAnsi" w:cs="Calibri"/>
                <w:b/>
                <w:color w:val="FFFFFF" w:themeColor="background1"/>
                <w:lang w:eastAsia="en-US"/>
              </w:rPr>
            </w:pPr>
            <w:r w:rsidRPr="00117156">
              <w:rPr>
                <w:rFonts w:eastAsiaTheme="minorHAnsi" w:cs="Calibri"/>
                <w:b/>
                <w:color w:val="FFFFFF" w:themeColor="background1"/>
                <w:lang w:eastAsia="en-US"/>
              </w:rPr>
              <w:t>Rezort</w:t>
            </w:r>
          </w:p>
        </w:tc>
        <w:tc>
          <w:tcPr>
            <w:tcW w:w="4531" w:type="dxa"/>
            <w:shd w:val="clear" w:color="auto" w:fill="1F4E79" w:themeFill="accent1" w:themeFillShade="80"/>
            <w:vAlign w:val="center"/>
          </w:tcPr>
          <w:p w14:paraId="0EA854AC" w14:textId="77777777" w:rsidR="001C2CEB" w:rsidRPr="00117156" w:rsidRDefault="001C2CEB" w:rsidP="004D28EC">
            <w:pPr>
              <w:suppressAutoHyphens w:val="0"/>
              <w:spacing w:line="240" w:lineRule="auto"/>
              <w:jc w:val="center"/>
              <w:rPr>
                <w:rFonts w:eastAsiaTheme="minorHAnsi" w:cs="Calibri"/>
                <w:b/>
                <w:color w:val="FFFFFF" w:themeColor="background1"/>
                <w:lang w:eastAsia="en-US"/>
              </w:rPr>
            </w:pPr>
            <w:r w:rsidRPr="00117156">
              <w:rPr>
                <w:rFonts w:eastAsiaTheme="minorHAnsi" w:cs="Calibri"/>
                <w:b/>
                <w:color w:val="FFFFFF" w:themeColor="background1"/>
                <w:lang w:eastAsia="en-US"/>
              </w:rPr>
              <w:t>Alokácia</w:t>
            </w:r>
          </w:p>
        </w:tc>
      </w:tr>
      <w:tr w:rsidR="001C2CEB" w:rsidRPr="00117156" w14:paraId="0F52BFE5" w14:textId="77777777" w:rsidTr="00B273A1">
        <w:tc>
          <w:tcPr>
            <w:tcW w:w="4531" w:type="dxa"/>
            <w:vAlign w:val="center"/>
          </w:tcPr>
          <w:p w14:paraId="20782D40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MD SR</w:t>
            </w:r>
          </w:p>
        </w:tc>
        <w:tc>
          <w:tcPr>
            <w:tcW w:w="4531" w:type="dxa"/>
            <w:vAlign w:val="center"/>
          </w:tcPr>
          <w:p w14:paraId="3D6CBB1B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3 000 281 170</w:t>
            </w:r>
          </w:p>
        </w:tc>
      </w:tr>
      <w:tr w:rsidR="001C2CEB" w:rsidRPr="00117156" w14:paraId="542C4AAD" w14:textId="77777777" w:rsidTr="00B273A1">
        <w:tc>
          <w:tcPr>
            <w:tcW w:w="4531" w:type="dxa"/>
            <w:vAlign w:val="center"/>
          </w:tcPr>
          <w:p w14:paraId="749879CC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MIRRI SR</w:t>
            </w:r>
          </w:p>
        </w:tc>
        <w:tc>
          <w:tcPr>
            <w:tcW w:w="4531" w:type="dxa"/>
            <w:vAlign w:val="center"/>
          </w:tcPr>
          <w:p w14:paraId="18857D80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2 608 994 293</w:t>
            </w:r>
          </w:p>
        </w:tc>
      </w:tr>
      <w:tr w:rsidR="001C2CEB" w:rsidRPr="00117156" w14:paraId="0C7AC1AD" w14:textId="77777777" w:rsidTr="00B273A1">
        <w:tc>
          <w:tcPr>
            <w:tcW w:w="4531" w:type="dxa"/>
            <w:vAlign w:val="center"/>
          </w:tcPr>
          <w:p w14:paraId="4239AB02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MPSVR SR</w:t>
            </w:r>
          </w:p>
        </w:tc>
        <w:tc>
          <w:tcPr>
            <w:tcW w:w="4531" w:type="dxa"/>
            <w:vAlign w:val="center"/>
          </w:tcPr>
          <w:p w14:paraId="3962559A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1 762 219 681</w:t>
            </w:r>
          </w:p>
        </w:tc>
      </w:tr>
      <w:tr w:rsidR="001C2CEB" w:rsidRPr="00117156" w14:paraId="20A07A0B" w14:textId="77777777" w:rsidTr="00B273A1">
        <w:tc>
          <w:tcPr>
            <w:tcW w:w="4531" w:type="dxa"/>
            <w:vAlign w:val="center"/>
          </w:tcPr>
          <w:p w14:paraId="5C64BD52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MŽP SR</w:t>
            </w:r>
          </w:p>
        </w:tc>
        <w:tc>
          <w:tcPr>
            <w:tcW w:w="4531" w:type="dxa"/>
            <w:vAlign w:val="center"/>
          </w:tcPr>
          <w:p w14:paraId="1FBFEAD4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1 723 914 863</w:t>
            </w:r>
          </w:p>
        </w:tc>
      </w:tr>
      <w:tr w:rsidR="001C2CEB" w:rsidRPr="00117156" w14:paraId="23122ED9" w14:textId="77777777" w:rsidTr="00B273A1">
        <w:tc>
          <w:tcPr>
            <w:tcW w:w="4531" w:type="dxa"/>
            <w:vAlign w:val="center"/>
          </w:tcPr>
          <w:p w14:paraId="4776C639" w14:textId="43AC83BE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MŠVV</w:t>
            </w:r>
            <w:r w:rsidR="00AB2665">
              <w:rPr>
                <w:rFonts w:eastAsiaTheme="minorHAnsi" w:cs="Calibri"/>
                <w:lang w:eastAsia="en-US"/>
              </w:rPr>
              <w:t>M</w:t>
            </w:r>
            <w:r w:rsidRPr="00117156">
              <w:rPr>
                <w:rFonts w:eastAsiaTheme="minorHAnsi" w:cs="Calibri"/>
                <w:lang w:eastAsia="en-US"/>
              </w:rPr>
              <w:t xml:space="preserve"> SR</w:t>
            </w:r>
          </w:p>
        </w:tc>
        <w:tc>
          <w:tcPr>
            <w:tcW w:w="4531" w:type="dxa"/>
            <w:vAlign w:val="center"/>
          </w:tcPr>
          <w:p w14:paraId="329F4476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1 074 625 240</w:t>
            </w:r>
          </w:p>
        </w:tc>
      </w:tr>
      <w:tr w:rsidR="001C2CEB" w:rsidRPr="00117156" w14:paraId="67FEDD9F" w14:textId="77777777" w:rsidTr="00B273A1">
        <w:tc>
          <w:tcPr>
            <w:tcW w:w="4531" w:type="dxa"/>
            <w:vAlign w:val="center"/>
          </w:tcPr>
          <w:p w14:paraId="0B9BF55B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SIEA</w:t>
            </w:r>
          </w:p>
        </w:tc>
        <w:tc>
          <w:tcPr>
            <w:tcW w:w="4531" w:type="dxa"/>
            <w:vAlign w:val="center"/>
          </w:tcPr>
          <w:p w14:paraId="79205236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902 229 091</w:t>
            </w:r>
          </w:p>
        </w:tc>
      </w:tr>
      <w:tr w:rsidR="001C2CEB" w:rsidRPr="00117156" w14:paraId="2C3E933D" w14:textId="77777777" w:rsidTr="00B273A1">
        <w:tc>
          <w:tcPr>
            <w:tcW w:w="4531" w:type="dxa"/>
            <w:vAlign w:val="center"/>
          </w:tcPr>
          <w:p w14:paraId="37890E47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MH SR</w:t>
            </w:r>
          </w:p>
        </w:tc>
        <w:tc>
          <w:tcPr>
            <w:tcW w:w="4531" w:type="dxa"/>
            <w:vAlign w:val="center"/>
          </w:tcPr>
          <w:p w14:paraId="1FF59AC1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626 929 974</w:t>
            </w:r>
          </w:p>
        </w:tc>
      </w:tr>
      <w:tr w:rsidR="001C2CEB" w:rsidRPr="00117156" w14:paraId="7127F015" w14:textId="77777777" w:rsidTr="00B273A1">
        <w:tc>
          <w:tcPr>
            <w:tcW w:w="4531" w:type="dxa"/>
            <w:vAlign w:val="center"/>
          </w:tcPr>
          <w:p w14:paraId="77A35CAE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MZ SR</w:t>
            </w:r>
          </w:p>
        </w:tc>
        <w:tc>
          <w:tcPr>
            <w:tcW w:w="4531" w:type="dxa"/>
            <w:vAlign w:val="center"/>
          </w:tcPr>
          <w:p w14:paraId="51277107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387 640 621</w:t>
            </w:r>
          </w:p>
        </w:tc>
      </w:tr>
      <w:tr w:rsidR="001C2CEB" w:rsidRPr="00117156" w14:paraId="62C78355" w14:textId="77777777" w:rsidTr="00B273A1">
        <w:tc>
          <w:tcPr>
            <w:tcW w:w="4531" w:type="dxa"/>
            <w:vAlign w:val="center"/>
          </w:tcPr>
          <w:p w14:paraId="24324DF7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ÚV SR</w:t>
            </w:r>
          </w:p>
        </w:tc>
        <w:tc>
          <w:tcPr>
            <w:tcW w:w="4531" w:type="dxa"/>
            <w:vAlign w:val="center"/>
          </w:tcPr>
          <w:p w14:paraId="38E5CBC8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399 500 000</w:t>
            </w:r>
          </w:p>
        </w:tc>
      </w:tr>
      <w:tr w:rsidR="001C2CEB" w:rsidRPr="00117156" w14:paraId="1E1414C3" w14:textId="77777777" w:rsidTr="00B273A1">
        <w:tc>
          <w:tcPr>
            <w:tcW w:w="4531" w:type="dxa"/>
            <w:vAlign w:val="center"/>
          </w:tcPr>
          <w:p w14:paraId="1B063F41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MV SR</w:t>
            </w:r>
          </w:p>
        </w:tc>
        <w:tc>
          <w:tcPr>
            <w:tcW w:w="4531" w:type="dxa"/>
            <w:vAlign w:val="center"/>
          </w:tcPr>
          <w:p w14:paraId="59B55F41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lang w:eastAsia="en-US"/>
              </w:rPr>
            </w:pPr>
            <w:r w:rsidRPr="00117156">
              <w:rPr>
                <w:rFonts w:eastAsiaTheme="minorHAnsi" w:cs="Calibri"/>
                <w:lang w:eastAsia="en-US"/>
              </w:rPr>
              <w:t>107 400 000</w:t>
            </w:r>
          </w:p>
        </w:tc>
      </w:tr>
      <w:tr w:rsidR="001C2CEB" w:rsidRPr="00117156" w14:paraId="64309074" w14:textId="77777777" w:rsidTr="00B273A1">
        <w:tc>
          <w:tcPr>
            <w:tcW w:w="4531" w:type="dxa"/>
            <w:shd w:val="clear" w:color="auto" w:fill="1F4E79" w:themeFill="accent1" w:themeFillShade="80"/>
            <w:vAlign w:val="center"/>
          </w:tcPr>
          <w:p w14:paraId="036D2FA5" w14:textId="77777777" w:rsidR="001C2CEB" w:rsidRPr="00117156" w:rsidRDefault="001C2CEB" w:rsidP="004D28EC">
            <w:pPr>
              <w:suppressAutoHyphens w:val="0"/>
              <w:spacing w:line="240" w:lineRule="auto"/>
              <w:rPr>
                <w:rFonts w:eastAsiaTheme="minorHAnsi" w:cs="Calibri"/>
                <w:b/>
                <w:color w:val="FFFFFF" w:themeColor="background1"/>
                <w:lang w:eastAsia="en-US"/>
              </w:rPr>
            </w:pPr>
            <w:r w:rsidRPr="00117156">
              <w:rPr>
                <w:rFonts w:eastAsiaTheme="minorHAnsi" w:cs="Calibri"/>
                <w:b/>
                <w:color w:val="FFFFFF" w:themeColor="background1"/>
                <w:lang w:eastAsia="en-US"/>
              </w:rPr>
              <w:t>Spolu Program Slovensko</w:t>
            </w:r>
          </w:p>
        </w:tc>
        <w:tc>
          <w:tcPr>
            <w:tcW w:w="4531" w:type="dxa"/>
            <w:shd w:val="clear" w:color="auto" w:fill="1F4E79" w:themeFill="accent1" w:themeFillShade="80"/>
            <w:vAlign w:val="center"/>
          </w:tcPr>
          <w:p w14:paraId="0EC98644" w14:textId="77777777" w:rsidR="001C2CEB" w:rsidRPr="00117156" w:rsidRDefault="001C2CEB" w:rsidP="004D28EC">
            <w:pPr>
              <w:suppressAutoHyphens w:val="0"/>
              <w:spacing w:line="240" w:lineRule="auto"/>
              <w:jc w:val="right"/>
              <w:rPr>
                <w:rFonts w:eastAsiaTheme="minorHAnsi" w:cs="Calibri"/>
                <w:b/>
                <w:color w:val="FFFFFF" w:themeColor="background1"/>
                <w:lang w:eastAsia="en-US"/>
              </w:rPr>
            </w:pPr>
            <w:r w:rsidRPr="00117156">
              <w:rPr>
                <w:rFonts w:eastAsiaTheme="minorHAnsi" w:cs="Calibri"/>
                <w:b/>
                <w:color w:val="FFFFFF" w:themeColor="background1"/>
                <w:lang w:eastAsia="en-US"/>
              </w:rPr>
              <w:t>12 593 734 933</w:t>
            </w:r>
          </w:p>
        </w:tc>
      </w:tr>
    </w:tbl>
    <w:p w14:paraId="04FBF420" w14:textId="77777777" w:rsidR="00B42122" w:rsidRDefault="00B42122" w:rsidP="004D28EC">
      <w:pPr>
        <w:suppressAutoHyphens w:val="0"/>
        <w:spacing w:before="120" w:line="240" w:lineRule="auto"/>
        <w:jc w:val="both"/>
        <w:rPr>
          <w:rFonts w:cs="Calibri"/>
          <w:color w:val="000000" w:themeColor="text1"/>
        </w:rPr>
      </w:pPr>
    </w:p>
    <w:p w14:paraId="0CA32944" w14:textId="38A3F508" w:rsidR="007E7600" w:rsidRPr="00117156" w:rsidRDefault="007E7600" w:rsidP="004D28EC">
      <w:pPr>
        <w:suppressAutoHyphens w:val="0"/>
        <w:spacing w:before="120" w:line="240" w:lineRule="auto"/>
        <w:jc w:val="both"/>
        <w:rPr>
          <w:rFonts w:cs="Calibri"/>
          <w:color w:val="000000" w:themeColor="text1"/>
        </w:rPr>
      </w:pPr>
      <w:r w:rsidRPr="00117156">
        <w:rPr>
          <w:rFonts w:cs="Calibri"/>
          <w:color w:val="000000" w:themeColor="text1"/>
        </w:rPr>
        <w:t>Investície z P SK</w:t>
      </w:r>
      <w:r w:rsidR="00F240DA">
        <w:rPr>
          <w:rFonts w:cs="Calibri"/>
          <w:color w:val="000000" w:themeColor="text1"/>
        </w:rPr>
        <w:t xml:space="preserve"> 2021</w:t>
      </w:r>
      <w:r w:rsidR="00AB2665">
        <w:rPr>
          <w:rFonts w:cs="Calibri"/>
          <w:color w:val="000000" w:themeColor="text1"/>
        </w:rPr>
        <w:t xml:space="preserve"> – </w:t>
      </w:r>
      <w:r w:rsidR="00F240DA">
        <w:rPr>
          <w:rFonts w:cs="Calibri"/>
          <w:color w:val="000000" w:themeColor="text1"/>
        </w:rPr>
        <w:t>2027</w:t>
      </w:r>
      <w:r w:rsidRPr="00117156">
        <w:rPr>
          <w:rFonts w:cs="Calibri"/>
          <w:color w:val="000000" w:themeColor="text1"/>
        </w:rPr>
        <w:t xml:space="preserve"> sú smerované do oblastí podpory</w:t>
      </w:r>
      <w:r w:rsidR="004D296D">
        <w:rPr>
          <w:rFonts w:cs="Calibri"/>
          <w:color w:val="000000" w:themeColor="text1"/>
        </w:rPr>
        <w:t>/priorít</w:t>
      </w:r>
      <w:r w:rsidRPr="00117156">
        <w:rPr>
          <w:rFonts w:cs="Calibri"/>
          <w:color w:val="000000" w:themeColor="text1"/>
        </w:rPr>
        <w:t xml:space="preserve"> </w:t>
      </w:r>
      <w:r w:rsidRPr="00117156">
        <w:rPr>
          <w:rFonts w:cs="Calibri"/>
          <w:b/>
          <w:color w:val="000000" w:themeColor="text1"/>
        </w:rPr>
        <w:t>v 5 cieľoch politiky (CP) súdržnosti EÚ</w:t>
      </w:r>
      <w:r w:rsidRPr="00117156">
        <w:rPr>
          <w:rFonts w:cs="Calibri"/>
          <w:color w:val="000000" w:themeColor="text1"/>
        </w:rPr>
        <w:t xml:space="preserve"> a jedného samostatného špecifického cieľa: </w:t>
      </w:r>
    </w:p>
    <w:p w14:paraId="3C742870" w14:textId="354C1E09" w:rsidR="0092620B" w:rsidRPr="00293EEF" w:rsidRDefault="0092620B" w:rsidP="004D28EC">
      <w:pPr>
        <w:suppressAutoHyphens w:val="0"/>
        <w:spacing w:before="120" w:line="240" w:lineRule="auto"/>
        <w:jc w:val="both"/>
        <w:rPr>
          <w:rFonts w:cs="Calibri"/>
          <w:b/>
          <w:color w:val="000000" w:themeColor="text1"/>
        </w:rPr>
      </w:pPr>
      <w:r w:rsidRPr="00293EEF">
        <w:rPr>
          <w:rFonts w:cs="Calibri"/>
          <w:b/>
          <w:color w:val="000000" w:themeColor="text1"/>
        </w:rPr>
        <w:t xml:space="preserve">CP1 </w:t>
      </w:r>
      <w:r w:rsidR="00AB2665">
        <w:rPr>
          <w:rFonts w:cs="Calibri"/>
          <w:b/>
          <w:color w:val="000000" w:themeColor="text1"/>
        </w:rPr>
        <w:t>–</w:t>
      </w:r>
      <w:r w:rsidRPr="00293EEF">
        <w:rPr>
          <w:rFonts w:cs="Calibri"/>
          <w:b/>
          <w:color w:val="000000" w:themeColor="text1"/>
        </w:rPr>
        <w:t xml:space="preserve"> Konkurencieschopnejšia a inteligentnejšia Európa:</w:t>
      </w:r>
    </w:p>
    <w:p w14:paraId="4F401A31" w14:textId="77777777" w:rsidR="0092620B" w:rsidRDefault="0092620B" w:rsidP="004D28EC">
      <w:pPr>
        <w:pStyle w:val="Odsekzoznamu"/>
        <w:numPr>
          <w:ilvl w:val="0"/>
          <w:numId w:val="45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>Rozvoj a rozšírenie výskumných a inovačných kapacít a využívania pokročilých technológií</w:t>
      </w:r>
    </w:p>
    <w:p w14:paraId="6939AAE8" w14:textId="77777777" w:rsidR="0092620B" w:rsidRDefault="0092620B" w:rsidP="004D28EC">
      <w:pPr>
        <w:pStyle w:val="Odsekzoznamu"/>
        <w:numPr>
          <w:ilvl w:val="0"/>
          <w:numId w:val="45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>Využívanie prínosov digitalizácie pre občanov, podniky, výskumné organizácie a orgány verejnej správy</w:t>
      </w:r>
    </w:p>
    <w:p w14:paraId="645E6FB4" w14:textId="77777777" w:rsidR="0092620B" w:rsidRDefault="0092620B" w:rsidP="004D28EC">
      <w:pPr>
        <w:pStyle w:val="Odsekzoznamu"/>
        <w:numPr>
          <w:ilvl w:val="0"/>
          <w:numId w:val="45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>Posilnenie udržateľného rastu a konkurencieschopnosti MSP a tvorby pracovných miest v MSP, a to aj produktívnymi investíciami</w:t>
      </w:r>
    </w:p>
    <w:p w14:paraId="15F03C09" w14:textId="77777777" w:rsidR="0092620B" w:rsidRDefault="0092620B" w:rsidP="004D28EC">
      <w:pPr>
        <w:pStyle w:val="Odsekzoznamu"/>
        <w:numPr>
          <w:ilvl w:val="0"/>
          <w:numId w:val="45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lastRenderedPageBreak/>
        <w:t>Rozvoj zručností pre inteligentnú špecializáciu, priemyselnú transformáciu a</w:t>
      </w:r>
      <w:r>
        <w:rPr>
          <w:rFonts w:cs="Calibri"/>
          <w:color w:val="000000" w:themeColor="text1"/>
        </w:rPr>
        <w:t> </w:t>
      </w:r>
      <w:r w:rsidRPr="000F04A9">
        <w:rPr>
          <w:rFonts w:cs="Calibri"/>
          <w:color w:val="000000" w:themeColor="text1"/>
        </w:rPr>
        <w:t>podnikanie</w:t>
      </w:r>
    </w:p>
    <w:p w14:paraId="3C3BF179" w14:textId="77777777" w:rsidR="0092620B" w:rsidRDefault="0092620B" w:rsidP="004D28EC">
      <w:pPr>
        <w:pStyle w:val="Odsekzoznamu"/>
        <w:numPr>
          <w:ilvl w:val="0"/>
          <w:numId w:val="45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 xml:space="preserve">Zvyšovanie digitálnej </w:t>
      </w:r>
      <w:proofErr w:type="spellStart"/>
      <w:r w:rsidRPr="000F04A9">
        <w:rPr>
          <w:rFonts w:cs="Calibri"/>
          <w:color w:val="000000" w:themeColor="text1"/>
        </w:rPr>
        <w:t>pripojiteľnosti</w:t>
      </w:r>
      <w:proofErr w:type="spellEnd"/>
    </w:p>
    <w:p w14:paraId="1E7A123F" w14:textId="2B87E7FC" w:rsidR="0092620B" w:rsidRPr="00293EEF" w:rsidRDefault="0092620B" w:rsidP="004D28EC">
      <w:pPr>
        <w:suppressAutoHyphens w:val="0"/>
        <w:spacing w:before="120" w:line="240" w:lineRule="auto"/>
        <w:jc w:val="both"/>
        <w:rPr>
          <w:rFonts w:cs="Calibri"/>
          <w:b/>
          <w:color w:val="000000" w:themeColor="text1"/>
        </w:rPr>
      </w:pPr>
      <w:r w:rsidRPr="00293EEF">
        <w:rPr>
          <w:rFonts w:cs="Calibri"/>
          <w:b/>
          <w:color w:val="000000" w:themeColor="text1"/>
        </w:rPr>
        <w:t xml:space="preserve">CP2 </w:t>
      </w:r>
      <w:r w:rsidR="00AB2665">
        <w:rPr>
          <w:rFonts w:cs="Calibri"/>
          <w:b/>
          <w:color w:val="000000" w:themeColor="text1"/>
        </w:rPr>
        <w:t>–</w:t>
      </w:r>
      <w:r w:rsidRPr="00293EEF">
        <w:rPr>
          <w:rFonts w:cs="Calibri"/>
          <w:b/>
          <w:color w:val="000000" w:themeColor="text1"/>
        </w:rPr>
        <w:t xml:space="preserve"> Zelenšia, </w:t>
      </w:r>
      <w:proofErr w:type="spellStart"/>
      <w:r w:rsidRPr="00293EEF">
        <w:rPr>
          <w:rFonts w:cs="Calibri"/>
          <w:b/>
          <w:color w:val="000000" w:themeColor="text1"/>
        </w:rPr>
        <w:t>nízkouhlíková</w:t>
      </w:r>
      <w:proofErr w:type="spellEnd"/>
      <w:r w:rsidRPr="00293EEF">
        <w:rPr>
          <w:rFonts w:cs="Calibri"/>
          <w:b/>
          <w:color w:val="000000" w:themeColor="text1"/>
        </w:rPr>
        <w:t xml:space="preserve"> a odolná Európa:</w:t>
      </w:r>
    </w:p>
    <w:p w14:paraId="4C1ABB66" w14:textId="77777777" w:rsidR="0092620B" w:rsidRDefault="0092620B" w:rsidP="004D28EC">
      <w:pPr>
        <w:pStyle w:val="Odsekzoznamu"/>
        <w:numPr>
          <w:ilvl w:val="0"/>
          <w:numId w:val="46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>Podpora energetickej efektívnosti a znižovania emisií skleníkových plynov</w:t>
      </w:r>
    </w:p>
    <w:p w14:paraId="389420F4" w14:textId="77777777" w:rsidR="0092620B" w:rsidRDefault="0092620B" w:rsidP="004D28EC">
      <w:pPr>
        <w:pStyle w:val="Odsekzoznamu"/>
        <w:numPr>
          <w:ilvl w:val="0"/>
          <w:numId w:val="46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>Podpora energie z obnoviteľných zdrojov v súlade so smernicou (EÚ) 2018/2001 vrátane kritérií udržateľnosti, ktoré sú v nej stanovené</w:t>
      </w:r>
    </w:p>
    <w:p w14:paraId="25C115DF" w14:textId="77777777" w:rsidR="0092620B" w:rsidRDefault="0092620B" w:rsidP="004D28EC">
      <w:pPr>
        <w:pStyle w:val="Odsekzoznamu"/>
        <w:numPr>
          <w:ilvl w:val="0"/>
          <w:numId w:val="46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 xml:space="preserve">Vývoj inteligentných energetických systémov, sietí a uskladnenia mimo </w:t>
      </w:r>
      <w:proofErr w:type="spellStart"/>
      <w:r w:rsidRPr="000F04A9">
        <w:rPr>
          <w:rFonts w:cs="Calibri"/>
          <w:color w:val="000000" w:themeColor="text1"/>
        </w:rPr>
        <w:t>transeurópskej</w:t>
      </w:r>
      <w:proofErr w:type="spellEnd"/>
      <w:r w:rsidRPr="000F04A9">
        <w:rPr>
          <w:rFonts w:cs="Calibri"/>
          <w:color w:val="000000" w:themeColor="text1"/>
        </w:rPr>
        <w:t xml:space="preserve"> energetickej siete (TEN-E)</w:t>
      </w:r>
    </w:p>
    <w:p w14:paraId="7B70CEB2" w14:textId="471EDC04" w:rsidR="0092620B" w:rsidRDefault="0092620B" w:rsidP="004D28EC">
      <w:pPr>
        <w:pStyle w:val="Odsekzoznamu"/>
        <w:numPr>
          <w:ilvl w:val="0"/>
          <w:numId w:val="46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>Podpora adaptácie na zmenu klímy a prevencie rizika katastrof, ako aj odolnosti, a to s</w:t>
      </w:r>
      <w:r w:rsidR="00AB2665">
        <w:rPr>
          <w:rFonts w:cs="Calibri"/>
          <w:color w:val="000000" w:themeColor="text1"/>
        </w:rPr>
        <w:t> </w:t>
      </w:r>
      <w:r w:rsidRPr="000F04A9">
        <w:rPr>
          <w:rFonts w:cs="Calibri"/>
          <w:color w:val="000000" w:themeColor="text1"/>
        </w:rPr>
        <w:t>prihliadnutím na ekosystémové prístupy</w:t>
      </w:r>
    </w:p>
    <w:p w14:paraId="31B675D4" w14:textId="77777777" w:rsidR="0092620B" w:rsidRDefault="0092620B" w:rsidP="004D28EC">
      <w:pPr>
        <w:pStyle w:val="Odsekzoznamu"/>
        <w:numPr>
          <w:ilvl w:val="0"/>
          <w:numId w:val="46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>Podpora prístupu k vode a udržateľného vodného hospodárstva</w:t>
      </w:r>
    </w:p>
    <w:p w14:paraId="3FD326E6" w14:textId="77777777" w:rsidR="0092620B" w:rsidRDefault="0092620B" w:rsidP="004D28EC">
      <w:pPr>
        <w:pStyle w:val="Odsekzoznamu"/>
        <w:numPr>
          <w:ilvl w:val="0"/>
          <w:numId w:val="46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>Podpora prechodu na obehové hospodárstvo, ktoré efektívne využíva zdroje</w:t>
      </w:r>
    </w:p>
    <w:p w14:paraId="22881A13" w14:textId="611627DB" w:rsidR="0092620B" w:rsidRDefault="0092620B" w:rsidP="009426D8">
      <w:pPr>
        <w:pStyle w:val="Odsekzoznamu"/>
        <w:numPr>
          <w:ilvl w:val="0"/>
          <w:numId w:val="46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>Posilnenie ochrany a zachovania prírody, biodiverzity a zelenej infraštruktúry, a to aj</w:t>
      </w:r>
      <w:r w:rsidR="009426D8">
        <w:rPr>
          <w:rFonts w:cs="Calibri"/>
          <w:color w:val="000000" w:themeColor="text1"/>
        </w:rPr>
        <w:t xml:space="preserve"> </w:t>
      </w:r>
      <w:r w:rsidRPr="000F04A9">
        <w:rPr>
          <w:rFonts w:cs="Calibri"/>
          <w:color w:val="000000" w:themeColor="text1"/>
        </w:rPr>
        <w:t>v</w:t>
      </w:r>
      <w:r w:rsidR="009426D8">
        <w:rPr>
          <w:rFonts w:cs="Calibri"/>
          <w:color w:val="000000" w:themeColor="text1"/>
        </w:rPr>
        <w:t> </w:t>
      </w:r>
      <w:r w:rsidRPr="000F04A9">
        <w:rPr>
          <w:rFonts w:cs="Calibri"/>
          <w:color w:val="000000" w:themeColor="text1"/>
        </w:rPr>
        <w:t>mestských oblastiach, a zníženia všetkých foriem</w:t>
      </w:r>
    </w:p>
    <w:p w14:paraId="5A5D208B" w14:textId="77777777" w:rsidR="0092620B" w:rsidRPr="00117156" w:rsidRDefault="0092620B" w:rsidP="004D28EC">
      <w:pPr>
        <w:pStyle w:val="Odsekzoznamu"/>
        <w:numPr>
          <w:ilvl w:val="0"/>
          <w:numId w:val="46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 xml:space="preserve">Podpora udržateľnej </w:t>
      </w:r>
      <w:proofErr w:type="spellStart"/>
      <w:r w:rsidRPr="000F04A9">
        <w:rPr>
          <w:rFonts w:cs="Calibri"/>
          <w:color w:val="000000" w:themeColor="text1"/>
        </w:rPr>
        <w:t>multimodálnej</w:t>
      </w:r>
      <w:proofErr w:type="spellEnd"/>
      <w:r w:rsidRPr="000F04A9">
        <w:rPr>
          <w:rFonts w:cs="Calibri"/>
          <w:color w:val="000000" w:themeColor="text1"/>
        </w:rPr>
        <w:t xml:space="preserve"> mestskej mobility ako súčasti prechodu na hospodárstvo s nulovou bilanciou uhlíka</w:t>
      </w:r>
    </w:p>
    <w:p w14:paraId="0D71822E" w14:textId="7E91C585" w:rsidR="0092620B" w:rsidRPr="00293EEF" w:rsidRDefault="0092620B" w:rsidP="004D28EC">
      <w:pPr>
        <w:suppressAutoHyphens w:val="0"/>
        <w:spacing w:before="120" w:line="240" w:lineRule="auto"/>
        <w:jc w:val="both"/>
        <w:rPr>
          <w:rFonts w:cs="Calibri"/>
          <w:b/>
          <w:color w:val="000000" w:themeColor="text1"/>
        </w:rPr>
      </w:pPr>
      <w:r w:rsidRPr="00293EEF">
        <w:rPr>
          <w:rFonts w:cs="Calibri"/>
          <w:b/>
          <w:color w:val="000000" w:themeColor="text1"/>
        </w:rPr>
        <w:t xml:space="preserve">CP3 </w:t>
      </w:r>
      <w:r w:rsidR="00AB2665">
        <w:rPr>
          <w:rFonts w:cs="Calibri"/>
          <w:b/>
          <w:color w:val="000000" w:themeColor="text1"/>
        </w:rPr>
        <w:t>–</w:t>
      </w:r>
      <w:r w:rsidRPr="00293EEF">
        <w:rPr>
          <w:rFonts w:cs="Calibri"/>
          <w:b/>
          <w:color w:val="000000" w:themeColor="text1"/>
        </w:rPr>
        <w:t xml:space="preserve"> Prepojenejšia Európa:</w:t>
      </w:r>
    </w:p>
    <w:p w14:paraId="569BD7F5" w14:textId="77777777" w:rsidR="0092620B" w:rsidRDefault="0092620B" w:rsidP="004D28EC">
      <w:pPr>
        <w:pStyle w:val="Odsekzoznamu"/>
        <w:numPr>
          <w:ilvl w:val="0"/>
          <w:numId w:val="47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 xml:space="preserve">Rozvoj inteligentnej, bezpečnej, udržateľnej a </w:t>
      </w:r>
      <w:proofErr w:type="spellStart"/>
      <w:r w:rsidRPr="000F04A9">
        <w:rPr>
          <w:rFonts w:cs="Calibri"/>
          <w:color w:val="000000" w:themeColor="text1"/>
        </w:rPr>
        <w:t>intermodálnej</w:t>
      </w:r>
      <w:proofErr w:type="spellEnd"/>
      <w:r w:rsidRPr="000F04A9">
        <w:rPr>
          <w:rFonts w:cs="Calibri"/>
          <w:color w:val="000000" w:themeColor="text1"/>
        </w:rPr>
        <w:t xml:space="preserve"> TEN-T odolnej proti zmene klímy</w:t>
      </w:r>
    </w:p>
    <w:p w14:paraId="33B8A327" w14:textId="716300A2" w:rsidR="0092620B" w:rsidRPr="00117156" w:rsidRDefault="0092620B" w:rsidP="004D28EC">
      <w:pPr>
        <w:pStyle w:val="Odsekzoznamu"/>
        <w:numPr>
          <w:ilvl w:val="0"/>
          <w:numId w:val="47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 xml:space="preserve">Rozvoj a posilňovanie udržateľnej, inteligentnej a </w:t>
      </w:r>
      <w:proofErr w:type="spellStart"/>
      <w:r w:rsidRPr="000F04A9">
        <w:rPr>
          <w:rFonts w:cs="Calibri"/>
          <w:color w:val="000000" w:themeColor="text1"/>
        </w:rPr>
        <w:t>intermodálnej</w:t>
      </w:r>
      <w:proofErr w:type="spellEnd"/>
      <w:r w:rsidRPr="000F04A9">
        <w:rPr>
          <w:rFonts w:cs="Calibri"/>
          <w:color w:val="000000" w:themeColor="text1"/>
        </w:rPr>
        <w:t xml:space="preserve"> vnútroštátnej, regionálnej a</w:t>
      </w:r>
      <w:r w:rsidR="00AB2665">
        <w:rPr>
          <w:rFonts w:cs="Calibri"/>
          <w:color w:val="000000" w:themeColor="text1"/>
        </w:rPr>
        <w:t> </w:t>
      </w:r>
      <w:r w:rsidRPr="000F04A9">
        <w:rPr>
          <w:rFonts w:cs="Calibri"/>
          <w:color w:val="000000" w:themeColor="text1"/>
        </w:rPr>
        <w:t>miestnej mobility</w:t>
      </w:r>
    </w:p>
    <w:p w14:paraId="3EF1F627" w14:textId="6488F5C4" w:rsidR="0092620B" w:rsidRPr="00293EEF" w:rsidRDefault="0092620B" w:rsidP="004D28EC">
      <w:pPr>
        <w:suppressAutoHyphens w:val="0"/>
        <w:spacing w:before="120" w:line="240" w:lineRule="auto"/>
        <w:jc w:val="both"/>
        <w:rPr>
          <w:rFonts w:cs="Calibri"/>
          <w:b/>
          <w:color w:val="000000" w:themeColor="text1"/>
        </w:rPr>
      </w:pPr>
      <w:r w:rsidRPr="00293EEF">
        <w:rPr>
          <w:rFonts w:cs="Calibri"/>
          <w:b/>
          <w:color w:val="000000" w:themeColor="text1"/>
        </w:rPr>
        <w:t xml:space="preserve">CP4 </w:t>
      </w:r>
      <w:r w:rsidR="00AB2665">
        <w:rPr>
          <w:rFonts w:cs="Calibri"/>
          <w:b/>
          <w:color w:val="000000" w:themeColor="text1"/>
        </w:rPr>
        <w:t>–</w:t>
      </w:r>
      <w:r w:rsidRPr="00293EEF">
        <w:rPr>
          <w:rFonts w:cs="Calibri"/>
          <w:b/>
          <w:color w:val="000000" w:themeColor="text1"/>
        </w:rPr>
        <w:t xml:space="preserve"> Sociálnejšia a </w:t>
      </w:r>
      <w:proofErr w:type="spellStart"/>
      <w:r w:rsidRPr="00293EEF">
        <w:rPr>
          <w:rFonts w:cs="Calibri"/>
          <w:b/>
          <w:color w:val="000000" w:themeColor="text1"/>
        </w:rPr>
        <w:t>inkluzívnejšia</w:t>
      </w:r>
      <w:proofErr w:type="spellEnd"/>
      <w:r w:rsidRPr="00293EEF">
        <w:rPr>
          <w:rFonts w:cs="Calibri"/>
          <w:b/>
          <w:color w:val="000000" w:themeColor="text1"/>
        </w:rPr>
        <w:t xml:space="preserve"> Európa:</w:t>
      </w:r>
    </w:p>
    <w:p w14:paraId="637CFF4C" w14:textId="77777777" w:rsidR="0092620B" w:rsidRPr="00117156" w:rsidRDefault="0092620B" w:rsidP="004D28EC">
      <w:pPr>
        <w:pStyle w:val="Odsekzoznamu"/>
        <w:numPr>
          <w:ilvl w:val="0"/>
          <w:numId w:val="48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117156">
        <w:rPr>
          <w:rFonts w:cs="Calibri"/>
          <w:color w:val="000000" w:themeColor="text1"/>
        </w:rPr>
        <w:t>Ad</w:t>
      </w:r>
      <w:r>
        <w:rPr>
          <w:rFonts w:cs="Calibri"/>
          <w:color w:val="000000" w:themeColor="text1"/>
        </w:rPr>
        <w:t>aptabilný a prístupný trh práce</w:t>
      </w:r>
    </w:p>
    <w:p w14:paraId="4D5AEB3D" w14:textId="77777777" w:rsidR="0092620B" w:rsidRPr="00117156" w:rsidRDefault="0092620B" w:rsidP="004D28EC">
      <w:pPr>
        <w:pStyle w:val="Odsekzoznamu"/>
        <w:numPr>
          <w:ilvl w:val="0"/>
          <w:numId w:val="48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117156">
        <w:rPr>
          <w:rFonts w:cs="Calibri"/>
          <w:color w:val="000000" w:themeColor="text1"/>
        </w:rPr>
        <w:t>Kv</w:t>
      </w:r>
      <w:r>
        <w:rPr>
          <w:rFonts w:cs="Calibri"/>
          <w:color w:val="000000" w:themeColor="text1"/>
        </w:rPr>
        <w:t xml:space="preserve">alitné a </w:t>
      </w:r>
      <w:proofErr w:type="spellStart"/>
      <w:r>
        <w:rPr>
          <w:rFonts w:cs="Calibri"/>
          <w:color w:val="000000" w:themeColor="text1"/>
        </w:rPr>
        <w:t>inkluzívne</w:t>
      </w:r>
      <w:proofErr w:type="spellEnd"/>
      <w:r>
        <w:rPr>
          <w:rFonts w:cs="Calibri"/>
          <w:color w:val="000000" w:themeColor="text1"/>
        </w:rPr>
        <w:t xml:space="preserve"> vzdelávanie</w:t>
      </w:r>
    </w:p>
    <w:p w14:paraId="33FF5AD4" w14:textId="77777777" w:rsidR="0092620B" w:rsidRPr="00117156" w:rsidRDefault="0092620B" w:rsidP="004D28EC">
      <w:pPr>
        <w:pStyle w:val="Odsekzoznamu"/>
        <w:numPr>
          <w:ilvl w:val="0"/>
          <w:numId w:val="48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Z</w:t>
      </w:r>
      <w:r w:rsidRPr="00117156">
        <w:rPr>
          <w:rFonts w:cs="Calibri"/>
          <w:color w:val="000000" w:themeColor="text1"/>
        </w:rPr>
        <w:t xml:space="preserve">ručností pre lepšiu adaptabilitu a inklúziu </w:t>
      </w:r>
    </w:p>
    <w:p w14:paraId="664C3E6C" w14:textId="77777777" w:rsidR="0092620B" w:rsidRPr="00117156" w:rsidRDefault="0092620B" w:rsidP="004D28EC">
      <w:pPr>
        <w:pStyle w:val="Odsekzoznamu"/>
        <w:numPr>
          <w:ilvl w:val="0"/>
          <w:numId w:val="48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Záruky pre mladých</w:t>
      </w:r>
    </w:p>
    <w:p w14:paraId="1603930C" w14:textId="77777777" w:rsidR="0092620B" w:rsidRDefault="0092620B" w:rsidP="004D28EC">
      <w:pPr>
        <w:pStyle w:val="Odsekzoznamu"/>
        <w:numPr>
          <w:ilvl w:val="0"/>
          <w:numId w:val="48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117156">
        <w:rPr>
          <w:rFonts w:cs="Calibri"/>
          <w:color w:val="000000" w:themeColor="text1"/>
        </w:rPr>
        <w:t xml:space="preserve">Aktívne začlenenie a podpora dostupných </w:t>
      </w:r>
      <w:r>
        <w:rPr>
          <w:rFonts w:cs="Calibri"/>
          <w:color w:val="000000" w:themeColor="text1"/>
        </w:rPr>
        <w:t>služby</w:t>
      </w:r>
    </w:p>
    <w:p w14:paraId="222CF6B9" w14:textId="77777777" w:rsidR="0092620B" w:rsidRDefault="0092620B" w:rsidP="004D28EC">
      <w:pPr>
        <w:pStyle w:val="Odsekzoznamu"/>
        <w:numPr>
          <w:ilvl w:val="0"/>
          <w:numId w:val="48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Aktívne začlenenie rómskych komunít</w:t>
      </w:r>
    </w:p>
    <w:p w14:paraId="3201D600" w14:textId="77777777" w:rsidR="0092620B" w:rsidRDefault="0092620B" w:rsidP="004D28EC">
      <w:pPr>
        <w:pStyle w:val="Odsekzoznamu"/>
        <w:numPr>
          <w:ilvl w:val="0"/>
          <w:numId w:val="48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Sociálne inovácie a experimenty</w:t>
      </w:r>
    </w:p>
    <w:p w14:paraId="0B7B79B9" w14:textId="77777777" w:rsidR="0092620B" w:rsidRPr="00117156" w:rsidRDefault="0092620B" w:rsidP="004D28EC">
      <w:pPr>
        <w:pStyle w:val="Odsekzoznamu"/>
        <w:numPr>
          <w:ilvl w:val="0"/>
          <w:numId w:val="48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Potravinová a materiálna deprivácia</w:t>
      </w:r>
    </w:p>
    <w:p w14:paraId="6ACF37A2" w14:textId="3E1ED5F2" w:rsidR="0092620B" w:rsidRPr="00293EEF" w:rsidRDefault="0092620B" w:rsidP="004D28EC">
      <w:pPr>
        <w:suppressAutoHyphens w:val="0"/>
        <w:spacing w:before="120" w:line="240" w:lineRule="auto"/>
        <w:jc w:val="both"/>
        <w:rPr>
          <w:rFonts w:cs="Calibri"/>
          <w:b/>
          <w:color w:val="000000" w:themeColor="text1"/>
        </w:rPr>
      </w:pPr>
      <w:r w:rsidRPr="00293EEF">
        <w:rPr>
          <w:rFonts w:cs="Calibri"/>
          <w:b/>
          <w:color w:val="000000" w:themeColor="text1"/>
        </w:rPr>
        <w:t xml:space="preserve">CP5 </w:t>
      </w:r>
      <w:r w:rsidR="00AB2665">
        <w:rPr>
          <w:rFonts w:cs="Calibri"/>
          <w:b/>
          <w:color w:val="000000" w:themeColor="text1"/>
        </w:rPr>
        <w:t>–</w:t>
      </w:r>
      <w:r w:rsidRPr="00293EEF">
        <w:rPr>
          <w:rFonts w:cs="Calibri"/>
          <w:b/>
          <w:color w:val="000000" w:themeColor="text1"/>
        </w:rPr>
        <w:t xml:space="preserve"> Európa bližšie k</w:t>
      </w:r>
      <w:r w:rsidR="001C2CEB">
        <w:rPr>
          <w:rFonts w:cs="Calibri"/>
          <w:b/>
          <w:color w:val="000000" w:themeColor="text1"/>
        </w:rPr>
        <w:t> </w:t>
      </w:r>
      <w:r w:rsidRPr="00293EEF">
        <w:rPr>
          <w:rFonts w:cs="Calibri"/>
          <w:b/>
          <w:color w:val="000000" w:themeColor="text1"/>
        </w:rPr>
        <w:t>občanom</w:t>
      </w:r>
      <w:r w:rsidR="001C2CEB">
        <w:rPr>
          <w:rFonts w:cs="Calibri"/>
          <w:b/>
          <w:color w:val="000000" w:themeColor="text1"/>
        </w:rPr>
        <w:t xml:space="preserve"> </w:t>
      </w:r>
      <w:r w:rsidRPr="00293EEF">
        <w:rPr>
          <w:rFonts w:cs="Calibri"/>
          <w:b/>
          <w:color w:val="000000" w:themeColor="text1"/>
        </w:rPr>
        <w:t>:</w:t>
      </w:r>
    </w:p>
    <w:p w14:paraId="2A96394A" w14:textId="44A6C8CD" w:rsidR="0092620B" w:rsidRDefault="0092620B" w:rsidP="004D28EC">
      <w:pPr>
        <w:pStyle w:val="Odsekzoznamu"/>
        <w:numPr>
          <w:ilvl w:val="0"/>
          <w:numId w:val="49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 xml:space="preserve">Podpora integrovaného a </w:t>
      </w:r>
      <w:proofErr w:type="spellStart"/>
      <w:r w:rsidRPr="000F04A9">
        <w:rPr>
          <w:rFonts w:cs="Calibri"/>
          <w:color w:val="000000" w:themeColor="text1"/>
        </w:rPr>
        <w:t>inkluzívneho</w:t>
      </w:r>
      <w:proofErr w:type="spellEnd"/>
      <w:r w:rsidRPr="000F04A9">
        <w:rPr>
          <w:rFonts w:cs="Calibri"/>
          <w:color w:val="000000" w:themeColor="text1"/>
        </w:rPr>
        <w:t xml:space="preserve"> sociálneho, hospodárskeho a environmentálneho rozvoja, kultúry, prírodného dedičstva, udržateľného cestovného ruchu a bezpečnosti v</w:t>
      </w:r>
      <w:r w:rsidR="00AB2665">
        <w:rPr>
          <w:rFonts w:cs="Calibri"/>
          <w:color w:val="000000" w:themeColor="text1"/>
        </w:rPr>
        <w:t> </w:t>
      </w:r>
      <w:r w:rsidRPr="000F04A9">
        <w:rPr>
          <w:rFonts w:cs="Calibri"/>
          <w:color w:val="000000" w:themeColor="text1"/>
        </w:rPr>
        <w:t>mestských oblastiach</w:t>
      </w:r>
    </w:p>
    <w:p w14:paraId="6020940A" w14:textId="1B9B19BB" w:rsidR="0092620B" w:rsidRPr="000F04A9" w:rsidRDefault="0092620B" w:rsidP="004D28EC">
      <w:pPr>
        <w:pStyle w:val="Odsekzoznamu"/>
        <w:numPr>
          <w:ilvl w:val="0"/>
          <w:numId w:val="49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0F04A9">
        <w:rPr>
          <w:rFonts w:cs="Calibri"/>
          <w:color w:val="000000" w:themeColor="text1"/>
        </w:rPr>
        <w:t xml:space="preserve">Podpora integrovaného a </w:t>
      </w:r>
      <w:proofErr w:type="spellStart"/>
      <w:r w:rsidRPr="000F04A9">
        <w:rPr>
          <w:rFonts w:cs="Calibri"/>
          <w:color w:val="000000" w:themeColor="text1"/>
        </w:rPr>
        <w:t>inkluzívneho</w:t>
      </w:r>
      <w:proofErr w:type="spellEnd"/>
      <w:r w:rsidRPr="000F04A9">
        <w:rPr>
          <w:rFonts w:cs="Calibri"/>
          <w:color w:val="000000" w:themeColor="text1"/>
        </w:rPr>
        <w:t xml:space="preserve"> sociálneho, hospodárskeho a environmentálneho miestneho rozvoja, kultúry, prírodného dedičstva, udržateľného cestovného ruchu a</w:t>
      </w:r>
      <w:r w:rsidR="00AB2665">
        <w:rPr>
          <w:rFonts w:cs="Calibri"/>
          <w:color w:val="000000" w:themeColor="text1"/>
        </w:rPr>
        <w:t> </w:t>
      </w:r>
      <w:r w:rsidRPr="000F04A9">
        <w:rPr>
          <w:rFonts w:cs="Calibri"/>
          <w:color w:val="000000" w:themeColor="text1"/>
        </w:rPr>
        <w:t>bezpečnosti v iných ako mestských oblastiach</w:t>
      </w:r>
    </w:p>
    <w:p w14:paraId="02EDA1EF" w14:textId="3D2BA3BB" w:rsidR="0092620B" w:rsidRDefault="0092620B" w:rsidP="004D28EC">
      <w:pPr>
        <w:suppressAutoHyphens w:val="0"/>
        <w:spacing w:before="120" w:line="240" w:lineRule="auto"/>
        <w:jc w:val="both"/>
        <w:rPr>
          <w:rFonts w:cs="Calibri"/>
          <w:b/>
          <w:color w:val="000000" w:themeColor="text1"/>
        </w:rPr>
      </w:pPr>
      <w:r w:rsidRPr="00293EEF">
        <w:rPr>
          <w:rFonts w:cs="Calibri"/>
          <w:b/>
          <w:color w:val="000000" w:themeColor="text1"/>
        </w:rPr>
        <w:t xml:space="preserve">Fond na spravodlivú transformáciu (FST </w:t>
      </w:r>
      <w:r w:rsidR="00AB2665">
        <w:rPr>
          <w:rFonts w:cs="Calibri"/>
          <w:b/>
          <w:color w:val="000000" w:themeColor="text1"/>
        </w:rPr>
        <w:t>–</w:t>
      </w:r>
      <w:r>
        <w:rPr>
          <w:rFonts w:cs="Calibri"/>
          <w:b/>
          <w:color w:val="000000" w:themeColor="text1"/>
        </w:rPr>
        <w:t xml:space="preserve"> samostatný špecifický cieľ):</w:t>
      </w:r>
    </w:p>
    <w:p w14:paraId="07BAD13F" w14:textId="4F7AEF61" w:rsidR="0092620B" w:rsidRPr="0092620B" w:rsidRDefault="0092620B" w:rsidP="004D28EC">
      <w:pPr>
        <w:pStyle w:val="Odsekzoznamu"/>
        <w:numPr>
          <w:ilvl w:val="0"/>
          <w:numId w:val="49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92620B">
        <w:rPr>
          <w:rFonts w:cs="Calibri"/>
          <w:color w:val="000000" w:themeColor="text1"/>
        </w:rPr>
        <w:t>Nástroj na zmiernenie dôsledkov transformácie a podpora oblastí najviac postihnutých pre</w:t>
      </w:r>
      <w:r w:rsidR="009426D8">
        <w:rPr>
          <w:rFonts w:cs="Calibri"/>
          <w:color w:val="000000" w:themeColor="text1"/>
        </w:rPr>
        <w:t>chodom na klimatickú neutralitu</w:t>
      </w:r>
    </w:p>
    <w:p w14:paraId="24FA05AD" w14:textId="77777777" w:rsidR="0092620B" w:rsidRPr="0092620B" w:rsidRDefault="0092620B" w:rsidP="004D28EC">
      <w:pPr>
        <w:pStyle w:val="Odsekzoznamu"/>
        <w:numPr>
          <w:ilvl w:val="0"/>
          <w:numId w:val="49"/>
        </w:numPr>
        <w:suppressAutoHyphens w:val="0"/>
        <w:spacing w:line="240" w:lineRule="auto"/>
        <w:jc w:val="both"/>
        <w:rPr>
          <w:rFonts w:cs="Calibri"/>
          <w:color w:val="000000" w:themeColor="text1"/>
        </w:rPr>
      </w:pPr>
      <w:r w:rsidRPr="0092620B">
        <w:rPr>
          <w:rFonts w:cs="Calibri"/>
          <w:color w:val="000000" w:themeColor="text1"/>
        </w:rPr>
        <w:t>Na Slovensku ho využívajú tri regióny: Trenčiansky kraj, Košický kraj a Banskobystrický kraj.</w:t>
      </w:r>
    </w:p>
    <w:p w14:paraId="684BA744" w14:textId="77777777" w:rsidR="009426D8" w:rsidRDefault="009426D8">
      <w:pPr>
        <w:suppressAutoHyphens w:val="0"/>
        <w:spacing w:after="160" w:line="259" w:lineRule="auto"/>
      </w:pPr>
    </w:p>
    <w:p w14:paraId="5FED101D" w14:textId="77777777" w:rsidR="009426D8" w:rsidRDefault="009426D8">
      <w:pPr>
        <w:suppressAutoHyphens w:val="0"/>
        <w:spacing w:after="160" w:line="259" w:lineRule="auto"/>
      </w:pPr>
    </w:p>
    <w:p w14:paraId="365BA898" w14:textId="2C3DF502" w:rsidR="009426D8" w:rsidRDefault="009426D8">
      <w:pPr>
        <w:suppressAutoHyphens w:val="0"/>
        <w:spacing w:after="160" w:line="259" w:lineRule="auto"/>
      </w:pPr>
      <w:r>
        <w:br w:type="page"/>
      </w:r>
    </w:p>
    <w:p w14:paraId="2EE67F0A" w14:textId="28710609" w:rsidR="007E7600" w:rsidRPr="004463D7" w:rsidRDefault="007E7600" w:rsidP="004D28EC">
      <w:pPr>
        <w:pStyle w:val="Nadpis2"/>
        <w:keepLines w:val="0"/>
        <w:widowControl w:val="0"/>
        <w:numPr>
          <w:ilvl w:val="1"/>
          <w:numId w:val="1"/>
        </w:numPr>
        <w:suppressAutoHyphens w:val="0"/>
        <w:spacing w:before="0" w:after="120" w:line="240" w:lineRule="auto"/>
        <w:ind w:left="709" w:hanging="567"/>
        <w:contextualSpacing/>
        <w:jc w:val="both"/>
        <w:rPr>
          <w:rFonts w:ascii="Calibri" w:eastAsia="Times New Roman" w:hAnsi="Calibri" w:cs="Calibri"/>
          <w:b/>
          <w:color w:val="0055A1"/>
        </w:rPr>
      </w:pPr>
      <w:bookmarkStart w:id="20" w:name="_Toc158989292"/>
      <w:r w:rsidRPr="004463D7">
        <w:rPr>
          <w:rFonts w:ascii="Calibri" w:eastAsia="Times New Roman" w:hAnsi="Calibri" w:cs="Calibri"/>
          <w:b/>
          <w:color w:val="0055A1"/>
        </w:rPr>
        <w:lastRenderedPageBreak/>
        <w:t>Stav schvaľovania hodnotiacich a výberových kritérií a zámerov ná</w:t>
      </w:r>
      <w:r w:rsidR="004463D7">
        <w:rPr>
          <w:rFonts w:ascii="Calibri" w:eastAsia="Times New Roman" w:hAnsi="Calibri" w:cs="Calibri"/>
          <w:b/>
          <w:color w:val="0055A1"/>
        </w:rPr>
        <w:t>rodných</w:t>
      </w:r>
      <w:r w:rsidRPr="004463D7">
        <w:rPr>
          <w:rFonts w:ascii="Calibri" w:eastAsia="Times New Roman" w:hAnsi="Calibri" w:cs="Calibri"/>
          <w:b/>
          <w:color w:val="0055A1"/>
        </w:rPr>
        <w:t xml:space="preserve"> projektov</w:t>
      </w:r>
      <w:bookmarkEnd w:id="20"/>
      <w:r w:rsidRPr="004463D7">
        <w:rPr>
          <w:rFonts w:ascii="Calibri" w:eastAsia="Times New Roman" w:hAnsi="Calibri" w:cs="Calibri"/>
          <w:b/>
          <w:color w:val="0055A1"/>
        </w:rPr>
        <w:t xml:space="preserve"> </w:t>
      </w:r>
    </w:p>
    <w:p w14:paraId="5BA47E1E" w14:textId="16CEDAE4" w:rsidR="007E7600" w:rsidRPr="00117156" w:rsidRDefault="007E7600" w:rsidP="004D28EC">
      <w:pPr>
        <w:keepNext/>
        <w:widowControl w:val="0"/>
        <w:spacing w:before="120" w:line="240" w:lineRule="auto"/>
        <w:jc w:val="both"/>
        <w:rPr>
          <w:rFonts w:cs="Calibri"/>
        </w:rPr>
      </w:pPr>
      <w:r w:rsidRPr="00117156">
        <w:rPr>
          <w:rFonts w:cs="Calibri"/>
        </w:rPr>
        <w:t>Za účelom monitorovania vykonávania P SK</w:t>
      </w:r>
      <w:r w:rsidR="00F240DA">
        <w:rPr>
          <w:rFonts w:cs="Calibri"/>
        </w:rPr>
        <w:t xml:space="preserve"> 2021</w:t>
      </w:r>
      <w:r w:rsidR="008F414E">
        <w:rPr>
          <w:rFonts w:cs="Calibri"/>
        </w:rPr>
        <w:t xml:space="preserve"> – </w:t>
      </w:r>
      <w:r w:rsidR="00F240DA">
        <w:rPr>
          <w:rFonts w:cs="Calibri"/>
        </w:rPr>
        <w:t>2027</w:t>
      </w:r>
      <w:r w:rsidRPr="00117156">
        <w:rPr>
          <w:rFonts w:cs="Calibri"/>
        </w:rPr>
        <w:t xml:space="preserve"> zriadilo MIRRI SR </w:t>
      </w:r>
      <w:r w:rsidR="00AB2665">
        <w:rPr>
          <w:rFonts w:cs="Calibri"/>
        </w:rPr>
        <w:t>m</w:t>
      </w:r>
      <w:r w:rsidRPr="00117156">
        <w:rPr>
          <w:rFonts w:cs="Calibri"/>
        </w:rPr>
        <w:t>onitorovací výbor a</w:t>
      </w:r>
      <w:r w:rsidR="00AB2665">
        <w:rPr>
          <w:rFonts w:cs="Calibri"/>
        </w:rPr>
        <w:t> </w:t>
      </w:r>
      <w:r w:rsidRPr="00117156">
        <w:rPr>
          <w:rFonts w:cs="Calibri"/>
        </w:rPr>
        <w:t>8</w:t>
      </w:r>
      <w:r w:rsidR="00AB2665">
        <w:rPr>
          <w:rFonts w:cs="Calibri"/>
        </w:rPr>
        <w:t> </w:t>
      </w:r>
      <w:r w:rsidRPr="00117156">
        <w:rPr>
          <w:rFonts w:cs="Calibri"/>
        </w:rPr>
        <w:t xml:space="preserve">tematických komisií pri </w:t>
      </w:r>
      <w:r w:rsidR="00AB2665">
        <w:rPr>
          <w:rFonts w:cs="Calibri"/>
        </w:rPr>
        <w:t>m</w:t>
      </w:r>
      <w:r w:rsidRPr="00117156">
        <w:rPr>
          <w:rFonts w:cs="Calibri"/>
        </w:rPr>
        <w:t>onitorovacom výbore</w:t>
      </w:r>
      <w:r w:rsidRPr="00117156">
        <w:rPr>
          <w:rStyle w:val="Odkaznapoznmkupodiarou"/>
          <w:rFonts w:cs="Calibri"/>
        </w:rPr>
        <w:footnoteReference w:id="1"/>
      </w:r>
      <w:r w:rsidRPr="00117156">
        <w:rPr>
          <w:rFonts w:cs="Calibri"/>
        </w:rPr>
        <w:t>. Hodnotiace a výberové kritériá</w:t>
      </w:r>
      <w:r w:rsidR="004463D7">
        <w:rPr>
          <w:rFonts w:cs="Calibri"/>
        </w:rPr>
        <w:t xml:space="preserve"> (</w:t>
      </w:r>
      <w:proofErr w:type="spellStart"/>
      <w:r w:rsidR="004463D7">
        <w:rPr>
          <w:rFonts w:cs="Calibri"/>
        </w:rPr>
        <w:t>HaVK</w:t>
      </w:r>
      <w:proofErr w:type="spellEnd"/>
      <w:r w:rsidR="004463D7">
        <w:rPr>
          <w:rFonts w:cs="Calibri"/>
        </w:rPr>
        <w:t>)</w:t>
      </w:r>
      <w:r w:rsidRPr="00117156">
        <w:rPr>
          <w:rFonts w:cs="Calibri"/>
        </w:rPr>
        <w:t xml:space="preserve"> pre dopytovo-orientované výzvy sa prerokúvajú na tematických komisiách a schvaľuje ich </w:t>
      </w:r>
      <w:r w:rsidR="00AB2665">
        <w:rPr>
          <w:rFonts w:cs="Calibri"/>
        </w:rPr>
        <w:t>m</w:t>
      </w:r>
      <w:r w:rsidRPr="00117156">
        <w:rPr>
          <w:rFonts w:cs="Calibri"/>
        </w:rPr>
        <w:t xml:space="preserve">onitorovací výbor (dvojkolový proces), zámery národných projektov schvaľuje príslušná tematická komisia (jednokolový proces). </w:t>
      </w:r>
    </w:p>
    <w:p w14:paraId="6603AC17" w14:textId="7CC7E628" w:rsidR="002F4266" w:rsidRDefault="006D5F19" w:rsidP="004D28EC">
      <w:pPr>
        <w:widowControl w:val="0"/>
        <w:spacing w:before="120" w:line="240" w:lineRule="auto"/>
        <w:jc w:val="both"/>
        <w:rPr>
          <w:rFonts w:cs="Calibri"/>
          <w:color w:val="000000" w:themeColor="text1"/>
          <w:highlight w:val="yellow"/>
        </w:rPr>
      </w:pPr>
      <w:r>
        <w:rPr>
          <w:rFonts w:cs="Calibri"/>
          <w:color w:val="000000" w:themeColor="text1"/>
        </w:rPr>
        <w:t>K 0</w:t>
      </w:r>
      <w:r w:rsidR="002F4266" w:rsidRPr="002F4266">
        <w:rPr>
          <w:rFonts w:cs="Calibri"/>
          <w:color w:val="000000" w:themeColor="text1"/>
        </w:rPr>
        <w:t>9.</w:t>
      </w:r>
      <w:r>
        <w:rPr>
          <w:rFonts w:cs="Calibri"/>
          <w:color w:val="000000" w:themeColor="text1"/>
        </w:rPr>
        <w:t>0</w:t>
      </w:r>
      <w:r w:rsidR="002F4266" w:rsidRPr="002F4266">
        <w:rPr>
          <w:rFonts w:cs="Calibri"/>
          <w:color w:val="000000" w:themeColor="text1"/>
        </w:rPr>
        <w:t xml:space="preserve">2.2024 sú </w:t>
      </w:r>
      <w:r w:rsidR="002F4266" w:rsidRPr="0030344C">
        <w:rPr>
          <w:rFonts w:cs="Calibri"/>
          <w:b/>
          <w:color w:val="000000" w:themeColor="text1"/>
        </w:rPr>
        <w:t xml:space="preserve">prostredníctvom schválených </w:t>
      </w:r>
      <w:proofErr w:type="spellStart"/>
      <w:r w:rsidR="002F4266" w:rsidRPr="0030344C">
        <w:rPr>
          <w:rFonts w:cs="Calibri"/>
          <w:b/>
          <w:color w:val="000000" w:themeColor="text1"/>
        </w:rPr>
        <w:t>HaVK</w:t>
      </w:r>
      <w:proofErr w:type="spellEnd"/>
      <w:r w:rsidR="002F4266" w:rsidRPr="002F4266">
        <w:rPr>
          <w:rFonts w:cs="Calibri"/>
          <w:color w:val="000000" w:themeColor="text1"/>
        </w:rPr>
        <w:t xml:space="preserve"> pre projekty vytvorené podmienky pre</w:t>
      </w:r>
      <w:r w:rsidR="00AB2665">
        <w:rPr>
          <w:rFonts w:cs="Calibri"/>
          <w:color w:val="000000" w:themeColor="text1"/>
        </w:rPr>
        <w:t> </w:t>
      </w:r>
      <w:r w:rsidR="002F4266" w:rsidRPr="002F4266">
        <w:rPr>
          <w:rFonts w:cs="Calibri"/>
          <w:color w:val="000000" w:themeColor="text1"/>
        </w:rPr>
        <w:t xml:space="preserve">implementáciu opatrení v objeme </w:t>
      </w:r>
      <w:r w:rsidR="002F4266">
        <w:rPr>
          <w:rFonts w:cs="Calibri"/>
          <w:b/>
          <w:color w:val="000000" w:themeColor="text1"/>
        </w:rPr>
        <w:t>4,</w:t>
      </w:r>
      <w:r w:rsidR="002F4266" w:rsidRPr="0030344C">
        <w:rPr>
          <w:rFonts w:cs="Calibri"/>
          <w:b/>
          <w:color w:val="000000" w:themeColor="text1"/>
        </w:rPr>
        <w:t>93 mld. EUR</w:t>
      </w:r>
      <w:r w:rsidR="002F4266" w:rsidRPr="002F4266">
        <w:rPr>
          <w:rFonts w:cs="Calibri"/>
          <w:b/>
          <w:color w:val="000000" w:themeColor="text1"/>
        </w:rPr>
        <w:t xml:space="preserve"> </w:t>
      </w:r>
      <w:r w:rsidR="002F4266" w:rsidRPr="0030344C">
        <w:rPr>
          <w:rFonts w:cs="Calibri"/>
          <w:b/>
          <w:color w:val="000000" w:themeColor="text1"/>
        </w:rPr>
        <w:t>(38,84 %).</w:t>
      </w:r>
      <w:r w:rsidR="002F4266" w:rsidRPr="002F4266">
        <w:rPr>
          <w:rFonts w:cs="Calibri"/>
          <w:color w:val="000000" w:themeColor="text1"/>
        </w:rPr>
        <w:t xml:space="preserve"> Zároveň boli </w:t>
      </w:r>
      <w:r w:rsidR="002F4266" w:rsidRPr="0030344C">
        <w:rPr>
          <w:rFonts w:cs="Calibri"/>
          <w:b/>
          <w:color w:val="000000" w:themeColor="text1"/>
        </w:rPr>
        <w:t>schválené zámery národných projektov</w:t>
      </w:r>
      <w:r w:rsidR="002F4266" w:rsidRPr="002F4266">
        <w:rPr>
          <w:rFonts w:cs="Calibri"/>
          <w:color w:val="000000" w:themeColor="text1"/>
        </w:rPr>
        <w:t xml:space="preserve"> vo výške </w:t>
      </w:r>
      <w:r w:rsidR="002F4266">
        <w:rPr>
          <w:rFonts w:cs="Calibri"/>
          <w:b/>
          <w:color w:val="000000" w:themeColor="text1"/>
        </w:rPr>
        <w:t>2,70 mld.</w:t>
      </w:r>
      <w:r w:rsidR="002F4266" w:rsidRPr="0030344C">
        <w:rPr>
          <w:rFonts w:cs="Calibri"/>
          <w:b/>
          <w:color w:val="000000" w:themeColor="text1"/>
        </w:rPr>
        <w:t xml:space="preserve"> EUR</w:t>
      </w:r>
      <w:r w:rsidR="002F4266">
        <w:rPr>
          <w:rFonts w:cs="Calibri"/>
          <w:b/>
          <w:color w:val="000000" w:themeColor="text1"/>
        </w:rPr>
        <w:t xml:space="preserve"> (21,45</w:t>
      </w:r>
      <w:r w:rsidR="002F4266" w:rsidRPr="0085648C">
        <w:rPr>
          <w:rFonts w:cs="Calibri"/>
          <w:b/>
          <w:color w:val="000000" w:themeColor="text1"/>
        </w:rPr>
        <w:t xml:space="preserve"> %).</w:t>
      </w:r>
    </w:p>
    <w:p w14:paraId="386C6972" w14:textId="7A9C731C" w:rsidR="004E460E" w:rsidRDefault="004E460E" w:rsidP="004D28EC">
      <w:pPr>
        <w:widowControl w:val="0"/>
        <w:spacing w:before="120" w:line="240" w:lineRule="auto"/>
        <w:jc w:val="both"/>
        <w:rPr>
          <w:rFonts w:cs="Calibri"/>
          <w:color w:val="000000" w:themeColor="text1"/>
        </w:rPr>
      </w:pPr>
    </w:p>
    <w:p w14:paraId="5EF8F434" w14:textId="77777777" w:rsidR="009426D8" w:rsidRDefault="009426D8" w:rsidP="004D28EC">
      <w:pPr>
        <w:widowControl w:val="0"/>
        <w:spacing w:before="120" w:line="240" w:lineRule="auto"/>
        <w:jc w:val="both"/>
        <w:rPr>
          <w:rFonts w:cs="Calibri"/>
          <w:color w:val="000000" w:themeColor="text1"/>
        </w:rPr>
      </w:pPr>
    </w:p>
    <w:p w14:paraId="2DEC166D" w14:textId="66E22F9D" w:rsidR="007E7600" w:rsidRPr="00B45D45" w:rsidRDefault="007E7600" w:rsidP="004D28EC">
      <w:pPr>
        <w:pStyle w:val="Nadpis2"/>
        <w:keepLines w:val="0"/>
        <w:numPr>
          <w:ilvl w:val="1"/>
          <w:numId w:val="1"/>
        </w:numPr>
        <w:suppressAutoHyphens w:val="0"/>
        <w:spacing w:before="0" w:after="120" w:line="240" w:lineRule="auto"/>
        <w:ind w:left="709" w:hanging="567"/>
        <w:contextualSpacing/>
        <w:jc w:val="both"/>
        <w:rPr>
          <w:rFonts w:ascii="Calibri" w:eastAsia="Times New Roman" w:hAnsi="Calibri" w:cs="Calibri"/>
          <w:b/>
          <w:color w:val="0055A1"/>
        </w:rPr>
      </w:pPr>
      <w:bookmarkStart w:id="21" w:name="_Toc158989293"/>
      <w:r w:rsidRPr="00B45D45">
        <w:rPr>
          <w:rFonts w:ascii="Calibri" w:eastAsia="Times New Roman" w:hAnsi="Calibri" w:cs="Calibri"/>
          <w:b/>
          <w:color w:val="0055A1"/>
        </w:rPr>
        <w:t>Posudzovanie výziev riadiac</w:t>
      </w:r>
      <w:r w:rsidR="009426D8">
        <w:rPr>
          <w:rFonts w:ascii="Calibri" w:eastAsia="Times New Roman" w:hAnsi="Calibri" w:cs="Calibri"/>
          <w:b/>
          <w:color w:val="0055A1"/>
        </w:rPr>
        <w:t>im</w:t>
      </w:r>
      <w:r w:rsidRPr="00B45D45">
        <w:rPr>
          <w:rFonts w:ascii="Calibri" w:eastAsia="Times New Roman" w:hAnsi="Calibri" w:cs="Calibri"/>
          <w:b/>
          <w:color w:val="0055A1"/>
        </w:rPr>
        <w:t xml:space="preserve"> orgán</w:t>
      </w:r>
      <w:r w:rsidR="009426D8">
        <w:rPr>
          <w:rFonts w:ascii="Calibri" w:eastAsia="Times New Roman" w:hAnsi="Calibri" w:cs="Calibri"/>
          <w:b/>
          <w:color w:val="0055A1"/>
        </w:rPr>
        <w:t>om</w:t>
      </w:r>
      <w:bookmarkEnd w:id="21"/>
    </w:p>
    <w:p w14:paraId="151DFC77" w14:textId="15B02AC7" w:rsidR="004463D7" w:rsidRDefault="002F4266" w:rsidP="004D28EC">
      <w:pPr>
        <w:spacing w:before="120" w:line="240" w:lineRule="auto"/>
        <w:jc w:val="both"/>
        <w:rPr>
          <w:rFonts w:cs="Calibri"/>
          <w:b/>
          <w:color w:val="2F5597"/>
        </w:rPr>
      </w:pPr>
      <w:r w:rsidRPr="0030344C">
        <w:rPr>
          <w:color w:val="000000"/>
        </w:rPr>
        <w:t>K 09.02.2024 bolo sprostredkovateľský</w:t>
      </w:r>
      <w:r w:rsidR="00AB2665">
        <w:rPr>
          <w:color w:val="000000"/>
        </w:rPr>
        <w:t>mi</w:t>
      </w:r>
      <w:r w:rsidRPr="0030344C">
        <w:rPr>
          <w:color w:val="000000"/>
        </w:rPr>
        <w:t xml:space="preserve"> orgán</w:t>
      </w:r>
      <w:r w:rsidR="00AB2665">
        <w:rPr>
          <w:color w:val="000000"/>
        </w:rPr>
        <w:t>mi predložených</w:t>
      </w:r>
      <w:r w:rsidRPr="0030344C">
        <w:rPr>
          <w:color w:val="000000"/>
        </w:rPr>
        <w:t xml:space="preserve"> na posúdenie riadiac</w:t>
      </w:r>
      <w:r w:rsidR="00AB2665">
        <w:rPr>
          <w:color w:val="000000"/>
        </w:rPr>
        <w:t>e</w:t>
      </w:r>
      <w:r w:rsidRPr="0030344C">
        <w:rPr>
          <w:color w:val="000000"/>
        </w:rPr>
        <w:t>m</w:t>
      </w:r>
      <w:r w:rsidR="00AB2665">
        <w:rPr>
          <w:color w:val="000000"/>
        </w:rPr>
        <w:t>u</w:t>
      </w:r>
      <w:r w:rsidRPr="0030344C">
        <w:rPr>
          <w:color w:val="000000"/>
        </w:rPr>
        <w:t xml:space="preserve"> orgán</w:t>
      </w:r>
      <w:r w:rsidR="00AB2665">
        <w:rPr>
          <w:color w:val="000000"/>
        </w:rPr>
        <w:t>u</w:t>
      </w:r>
      <w:r w:rsidRPr="0030344C">
        <w:rPr>
          <w:color w:val="000000"/>
        </w:rPr>
        <w:t xml:space="preserve"> 108</w:t>
      </w:r>
      <w:r w:rsidR="00AB2665">
        <w:rPr>
          <w:color w:val="000000"/>
        </w:rPr>
        <w:t> </w:t>
      </w:r>
      <w:r w:rsidRPr="0030344C">
        <w:rPr>
          <w:color w:val="000000"/>
        </w:rPr>
        <w:t>výziev v</w:t>
      </w:r>
      <w:r w:rsidR="00AB2665">
        <w:rPr>
          <w:color w:val="000000"/>
        </w:rPr>
        <w:t xml:space="preserve"> </w:t>
      </w:r>
      <w:r w:rsidRPr="0030344C">
        <w:rPr>
          <w:color w:val="000000"/>
        </w:rPr>
        <w:t>celkovej hodnote 3,4</w:t>
      </w:r>
      <w:r w:rsidR="000A6AE5">
        <w:rPr>
          <w:color w:val="000000"/>
        </w:rPr>
        <w:t>0</w:t>
      </w:r>
      <w:r w:rsidRPr="0030344C">
        <w:rPr>
          <w:color w:val="000000"/>
        </w:rPr>
        <w:t xml:space="preserve"> mld. EUR za zdroj EÚ</w:t>
      </w:r>
      <w:r w:rsidRPr="0030344C">
        <w:rPr>
          <w:b/>
          <w:bCs/>
          <w:color w:val="000000"/>
        </w:rPr>
        <w:t xml:space="preserve"> </w:t>
      </w:r>
      <w:r w:rsidRPr="0030344C">
        <w:rPr>
          <w:color w:val="000000"/>
        </w:rPr>
        <w:t xml:space="preserve">(27 %), z toho bolo </w:t>
      </w:r>
      <w:r w:rsidRPr="0030344C">
        <w:rPr>
          <w:b/>
          <w:bCs/>
          <w:color w:val="000000"/>
        </w:rPr>
        <w:t>k</w:t>
      </w:r>
      <w:r w:rsidRPr="0030344C">
        <w:rPr>
          <w:color w:val="000000"/>
        </w:rPr>
        <w:t xml:space="preserve"> </w:t>
      </w:r>
      <w:r w:rsidRPr="0030344C">
        <w:rPr>
          <w:b/>
          <w:bCs/>
          <w:color w:val="000000"/>
        </w:rPr>
        <w:t>95 výzvam v objeme 2,66</w:t>
      </w:r>
      <w:r w:rsidR="000A6AE5">
        <w:rPr>
          <w:b/>
          <w:bCs/>
          <w:color w:val="000000"/>
        </w:rPr>
        <w:t> </w:t>
      </w:r>
      <w:r w:rsidRPr="0030344C">
        <w:rPr>
          <w:b/>
          <w:bCs/>
          <w:color w:val="000000"/>
        </w:rPr>
        <w:t>mld. EUR za zdroj EÚ (21,12 %) vydané Vyjadrenie RO</w:t>
      </w:r>
      <w:r w:rsidRPr="0030344C">
        <w:rPr>
          <w:color w:val="000000"/>
        </w:rPr>
        <w:t>. V súčasnej dobe RO posudzuje 10 výziev v</w:t>
      </w:r>
      <w:r w:rsidR="00AB2665">
        <w:rPr>
          <w:color w:val="000000"/>
        </w:rPr>
        <w:t> </w:t>
      </w:r>
      <w:r w:rsidRPr="0030344C">
        <w:rPr>
          <w:color w:val="000000"/>
        </w:rPr>
        <w:t>objeme 557,3 mil. EUR (zdroj EÚ).</w:t>
      </w:r>
    </w:p>
    <w:p w14:paraId="06250D26" w14:textId="63ACDFD6" w:rsidR="004E460E" w:rsidRPr="009426D8" w:rsidRDefault="004E460E" w:rsidP="009426D8">
      <w:pPr>
        <w:widowControl w:val="0"/>
        <w:spacing w:before="120" w:line="240" w:lineRule="auto"/>
        <w:jc w:val="both"/>
        <w:rPr>
          <w:rFonts w:cs="Calibri"/>
          <w:color w:val="000000" w:themeColor="text1"/>
        </w:rPr>
      </w:pPr>
    </w:p>
    <w:p w14:paraId="7A14091A" w14:textId="77777777" w:rsidR="009426D8" w:rsidRPr="009426D8" w:rsidRDefault="009426D8" w:rsidP="009426D8">
      <w:pPr>
        <w:widowControl w:val="0"/>
        <w:spacing w:before="120" w:line="240" w:lineRule="auto"/>
        <w:jc w:val="both"/>
        <w:rPr>
          <w:rFonts w:cs="Calibri"/>
          <w:color w:val="000000" w:themeColor="text1"/>
        </w:rPr>
      </w:pPr>
    </w:p>
    <w:p w14:paraId="5AB2620E" w14:textId="77777777" w:rsidR="007E7600" w:rsidRPr="004463D7" w:rsidRDefault="007E7600" w:rsidP="004D28EC">
      <w:pPr>
        <w:pStyle w:val="Nadpis2"/>
        <w:keepNext w:val="0"/>
        <w:keepLines w:val="0"/>
        <w:numPr>
          <w:ilvl w:val="1"/>
          <w:numId w:val="1"/>
        </w:numPr>
        <w:suppressAutoHyphens w:val="0"/>
        <w:spacing w:before="0" w:after="120" w:line="240" w:lineRule="auto"/>
        <w:ind w:left="709" w:hanging="567"/>
        <w:contextualSpacing/>
        <w:jc w:val="both"/>
        <w:rPr>
          <w:rFonts w:ascii="Calibri" w:eastAsia="Times New Roman" w:hAnsi="Calibri" w:cs="Calibri"/>
          <w:b/>
          <w:color w:val="0055A1"/>
        </w:rPr>
      </w:pPr>
      <w:bookmarkStart w:id="22" w:name="_Toc158989294"/>
      <w:r w:rsidRPr="004463D7">
        <w:rPr>
          <w:rFonts w:ascii="Calibri" w:eastAsia="Times New Roman" w:hAnsi="Calibri" w:cs="Calibri"/>
          <w:b/>
          <w:color w:val="0055A1"/>
        </w:rPr>
        <w:t>Aktuálny stav implementácie</w:t>
      </w:r>
      <w:bookmarkEnd w:id="22"/>
      <w:r w:rsidRPr="004463D7">
        <w:rPr>
          <w:rFonts w:ascii="Calibri" w:eastAsia="Times New Roman" w:hAnsi="Calibri" w:cs="Calibri"/>
          <w:b/>
          <w:color w:val="0055A1"/>
        </w:rPr>
        <w:t xml:space="preserve"> </w:t>
      </w:r>
    </w:p>
    <w:p w14:paraId="0868A4D5" w14:textId="77777777" w:rsidR="007E7600" w:rsidRPr="00117156" w:rsidRDefault="007E7600" w:rsidP="004D28EC">
      <w:pPr>
        <w:suppressAutoHyphens w:val="0"/>
        <w:spacing w:before="120" w:line="240" w:lineRule="auto"/>
        <w:jc w:val="both"/>
        <w:rPr>
          <w:rStyle w:val="Zstupntext"/>
          <w:rFonts w:ascii="Calibri" w:eastAsiaTheme="majorEastAsia" w:hAnsi="Calibri" w:cs="Calibri"/>
          <w:b/>
          <w:color w:val="auto"/>
          <w:sz w:val="26"/>
          <w:szCs w:val="26"/>
        </w:rPr>
      </w:pPr>
      <w:r w:rsidRPr="00117156">
        <w:rPr>
          <w:rStyle w:val="Zstupntext"/>
          <w:rFonts w:ascii="Calibri" w:hAnsi="Calibri" w:cs="Calibri"/>
          <w:color w:val="000000"/>
        </w:rPr>
        <w:t xml:space="preserve">Alokácia P SK 2021 – 2027 je vo výške </w:t>
      </w:r>
      <w:r w:rsidRPr="00117156">
        <w:rPr>
          <w:rStyle w:val="Zstupntext"/>
          <w:rFonts w:ascii="Calibri" w:hAnsi="Calibri" w:cs="Calibri"/>
          <w:b/>
          <w:color w:val="000000"/>
        </w:rPr>
        <w:t>12,59 mld. EUR</w:t>
      </w:r>
      <w:r w:rsidRPr="00117156">
        <w:rPr>
          <w:rStyle w:val="Zstupntext"/>
          <w:rFonts w:ascii="Calibri" w:hAnsi="Calibri" w:cs="Calibri"/>
          <w:color w:val="000000"/>
        </w:rPr>
        <w:t xml:space="preserve">. </w:t>
      </w:r>
    </w:p>
    <w:p w14:paraId="31882884" w14:textId="77551777" w:rsidR="007E7600" w:rsidRPr="00117156" w:rsidRDefault="007E7600" w:rsidP="004D28EC">
      <w:pPr>
        <w:spacing w:before="120" w:line="240" w:lineRule="auto"/>
        <w:jc w:val="both"/>
        <w:rPr>
          <w:rFonts w:cs="Calibri"/>
        </w:rPr>
      </w:pPr>
      <w:r w:rsidRPr="00117156">
        <w:rPr>
          <w:rFonts w:cs="Calibri"/>
          <w:color w:val="000000"/>
        </w:rPr>
        <w:t>Z celkovej alokácie boli v </w:t>
      </w:r>
      <w:r w:rsidR="00B40DA8">
        <w:rPr>
          <w:rFonts w:cs="Calibri"/>
          <w:b/>
          <w:color w:val="000000"/>
        </w:rPr>
        <w:t>91</w:t>
      </w:r>
      <w:r w:rsidRPr="00117156">
        <w:rPr>
          <w:rFonts w:cs="Calibri"/>
          <w:b/>
          <w:color w:val="000000"/>
        </w:rPr>
        <w:t xml:space="preserve"> výzvach </w:t>
      </w:r>
      <w:r w:rsidRPr="00117156">
        <w:rPr>
          <w:rFonts w:cs="Calibri"/>
          <w:color w:val="000000"/>
        </w:rPr>
        <w:t xml:space="preserve">pre potenciálnych žiadateľov nenávratného finančného príspevku k </w:t>
      </w:r>
      <w:r w:rsidR="00B40DA8">
        <w:rPr>
          <w:rFonts w:cs="Calibri"/>
          <w:color w:val="000000"/>
        </w:rPr>
        <w:t>09</w:t>
      </w:r>
      <w:r w:rsidRPr="00117156">
        <w:rPr>
          <w:rFonts w:cs="Calibri"/>
          <w:color w:val="000000"/>
        </w:rPr>
        <w:t>.</w:t>
      </w:r>
      <w:r w:rsidR="00B40DA8">
        <w:rPr>
          <w:rFonts w:cs="Calibri"/>
          <w:color w:val="000000"/>
        </w:rPr>
        <w:t>02</w:t>
      </w:r>
      <w:r w:rsidRPr="00117156">
        <w:rPr>
          <w:rFonts w:cs="Calibri"/>
          <w:color w:val="000000"/>
        </w:rPr>
        <w:t>.202</w:t>
      </w:r>
      <w:r w:rsidR="00B40DA8">
        <w:rPr>
          <w:rFonts w:cs="Calibri"/>
          <w:color w:val="000000"/>
        </w:rPr>
        <w:t>4</w:t>
      </w:r>
      <w:r w:rsidRPr="00117156">
        <w:rPr>
          <w:rFonts w:cs="Calibri"/>
          <w:color w:val="000000"/>
        </w:rPr>
        <w:t xml:space="preserve"> sprístupnené finančné prostriedky vo výške </w:t>
      </w:r>
      <w:r w:rsidR="00711C2C">
        <w:rPr>
          <w:rFonts w:cs="Calibri"/>
          <w:b/>
          <w:color w:val="000000"/>
        </w:rPr>
        <w:t>2,54</w:t>
      </w:r>
      <w:r w:rsidRPr="00117156">
        <w:rPr>
          <w:rFonts w:cs="Calibri"/>
          <w:b/>
          <w:color w:val="000000"/>
        </w:rPr>
        <w:t xml:space="preserve"> mld. EUR</w:t>
      </w:r>
      <w:r w:rsidRPr="00117156">
        <w:rPr>
          <w:rFonts w:cs="Calibri"/>
          <w:color w:val="000000"/>
        </w:rPr>
        <w:t xml:space="preserve">, čo predstavuje </w:t>
      </w:r>
      <w:r w:rsidR="00711C2C">
        <w:rPr>
          <w:rFonts w:cs="Calibri"/>
          <w:b/>
          <w:color w:val="000000"/>
        </w:rPr>
        <w:t>20,16</w:t>
      </w:r>
      <w:r w:rsidRPr="00117156">
        <w:rPr>
          <w:rFonts w:cs="Calibri"/>
          <w:b/>
          <w:color w:val="000000"/>
        </w:rPr>
        <w:t xml:space="preserve"> %</w:t>
      </w:r>
      <w:r w:rsidRPr="00117156">
        <w:rPr>
          <w:rFonts w:cs="Calibri"/>
          <w:color w:val="000000"/>
        </w:rPr>
        <w:t xml:space="preserve"> z</w:t>
      </w:r>
      <w:r w:rsidR="00AB2665">
        <w:rPr>
          <w:rFonts w:cs="Calibri"/>
          <w:color w:val="000000"/>
        </w:rPr>
        <w:t> </w:t>
      </w:r>
      <w:r w:rsidRPr="00117156">
        <w:rPr>
          <w:rFonts w:cs="Calibri"/>
          <w:color w:val="000000"/>
        </w:rPr>
        <w:t>celkovej alokácie (EÚ zdroj).</w:t>
      </w:r>
      <w:r w:rsidRPr="00117156">
        <w:rPr>
          <w:rFonts w:cs="Calibri"/>
        </w:rPr>
        <w:t xml:space="preserve"> </w:t>
      </w:r>
    </w:p>
    <w:p w14:paraId="4F871F14" w14:textId="2B9563DA" w:rsidR="007E7600" w:rsidRPr="00117156" w:rsidRDefault="007E7600" w:rsidP="004D28EC">
      <w:pPr>
        <w:spacing w:before="120" w:line="240" w:lineRule="auto"/>
        <w:jc w:val="both"/>
        <w:rPr>
          <w:rFonts w:cs="Calibri"/>
        </w:rPr>
      </w:pPr>
      <w:r w:rsidRPr="00117156">
        <w:rPr>
          <w:rFonts w:cs="Calibri"/>
        </w:rPr>
        <w:t>Žiadatelia predložili k </w:t>
      </w:r>
      <w:r w:rsidR="00711C2C">
        <w:rPr>
          <w:rFonts w:cs="Calibri"/>
        </w:rPr>
        <w:t>09</w:t>
      </w:r>
      <w:r w:rsidRPr="00117156">
        <w:rPr>
          <w:rFonts w:cs="Calibri"/>
        </w:rPr>
        <w:t>.</w:t>
      </w:r>
      <w:r w:rsidR="00711C2C">
        <w:rPr>
          <w:rFonts w:cs="Calibri"/>
        </w:rPr>
        <w:t>02</w:t>
      </w:r>
      <w:r w:rsidRPr="00117156">
        <w:rPr>
          <w:rFonts w:cs="Calibri"/>
        </w:rPr>
        <w:t>.202</w:t>
      </w:r>
      <w:r w:rsidR="00711C2C">
        <w:rPr>
          <w:rFonts w:cs="Calibri"/>
        </w:rPr>
        <w:t>4</w:t>
      </w:r>
      <w:r w:rsidRPr="00117156">
        <w:rPr>
          <w:rFonts w:cs="Calibri"/>
        </w:rPr>
        <w:t xml:space="preserve"> na posúdenie </w:t>
      </w:r>
      <w:r w:rsidR="00711C2C">
        <w:rPr>
          <w:rFonts w:cs="Calibri"/>
          <w:b/>
        </w:rPr>
        <w:t>570</w:t>
      </w:r>
      <w:r w:rsidR="00711C2C" w:rsidRPr="00117156">
        <w:rPr>
          <w:rFonts w:cs="Calibri"/>
          <w:b/>
        </w:rPr>
        <w:t xml:space="preserve"> </w:t>
      </w:r>
      <w:r w:rsidRPr="00117156">
        <w:rPr>
          <w:rFonts w:cs="Calibri"/>
          <w:b/>
        </w:rPr>
        <w:t>žiadostí o nenávratný finančný príspevok</w:t>
      </w:r>
      <w:r w:rsidRPr="00117156">
        <w:rPr>
          <w:rFonts w:cs="Calibri"/>
        </w:rPr>
        <w:t xml:space="preserve">, z ktorých bolo zatiaľ </w:t>
      </w:r>
      <w:r w:rsidRPr="00117156">
        <w:rPr>
          <w:rFonts w:cs="Calibri"/>
          <w:b/>
        </w:rPr>
        <w:t xml:space="preserve">schválených </w:t>
      </w:r>
      <w:r w:rsidR="00711C2C">
        <w:rPr>
          <w:rFonts w:cs="Calibri"/>
          <w:b/>
        </w:rPr>
        <w:t>456</w:t>
      </w:r>
      <w:r w:rsidR="00711C2C" w:rsidRPr="00117156">
        <w:rPr>
          <w:rFonts w:cs="Calibri"/>
          <w:b/>
        </w:rPr>
        <w:t xml:space="preserve"> </w:t>
      </w:r>
      <w:r w:rsidRPr="00117156">
        <w:rPr>
          <w:rFonts w:cs="Calibri"/>
          <w:b/>
        </w:rPr>
        <w:t>žiadostí</w:t>
      </w:r>
      <w:r w:rsidRPr="00117156">
        <w:rPr>
          <w:rFonts w:cs="Calibri"/>
        </w:rPr>
        <w:t>. K </w:t>
      </w:r>
      <w:r w:rsidR="00711C2C">
        <w:rPr>
          <w:rFonts w:cs="Calibri"/>
        </w:rPr>
        <w:t>09</w:t>
      </w:r>
      <w:r w:rsidR="00711C2C" w:rsidRPr="00117156">
        <w:rPr>
          <w:rFonts w:cs="Calibri"/>
        </w:rPr>
        <w:t>.</w:t>
      </w:r>
      <w:r w:rsidR="00711C2C">
        <w:rPr>
          <w:rFonts w:cs="Calibri"/>
        </w:rPr>
        <w:t>02</w:t>
      </w:r>
      <w:r w:rsidR="00711C2C" w:rsidRPr="00117156">
        <w:rPr>
          <w:rFonts w:cs="Calibri"/>
        </w:rPr>
        <w:t>.202</w:t>
      </w:r>
      <w:r w:rsidR="00711C2C">
        <w:rPr>
          <w:rFonts w:cs="Calibri"/>
        </w:rPr>
        <w:t>4</w:t>
      </w:r>
      <w:r w:rsidR="00711C2C" w:rsidRPr="00117156">
        <w:rPr>
          <w:rFonts w:cs="Calibri"/>
        </w:rPr>
        <w:t xml:space="preserve"> </w:t>
      </w:r>
      <w:r w:rsidRPr="00117156">
        <w:rPr>
          <w:rFonts w:cs="Calibri"/>
        </w:rPr>
        <w:t xml:space="preserve">bolo </w:t>
      </w:r>
      <w:proofErr w:type="spellStart"/>
      <w:r w:rsidRPr="00117156">
        <w:rPr>
          <w:rFonts w:cs="Calibri"/>
          <w:b/>
        </w:rPr>
        <w:t>zazmluvnených</w:t>
      </w:r>
      <w:proofErr w:type="spellEnd"/>
      <w:r w:rsidRPr="00117156">
        <w:rPr>
          <w:rFonts w:cs="Calibri"/>
          <w:b/>
        </w:rPr>
        <w:t xml:space="preserve"> </w:t>
      </w:r>
      <w:r w:rsidR="00711C2C">
        <w:rPr>
          <w:rFonts w:cs="Calibri"/>
          <w:b/>
        </w:rPr>
        <w:t>251</w:t>
      </w:r>
      <w:r w:rsidRPr="00117156">
        <w:rPr>
          <w:rFonts w:cs="Calibri"/>
          <w:b/>
        </w:rPr>
        <w:t xml:space="preserve"> projektov</w:t>
      </w:r>
      <w:r w:rsidRPr="00117156">
        <w:rPr>
          <w:rFonts w:cs="Calibri"/>
        </w:rPr>
        <w:t xml:space="preserve"> v</w:t>
      </w:r>
      <w:r w:rsidR="00AB2665">
        <w:rPr>
          <w:rFonts w:cs="Calibri"/>
        </w:rPr>
        <w:t> </w:t>
      </w:r>
      <w:r w:rsidRPr="00117156">
        <w:rPr>
          <w:rFonts w:cs="Calibri"/>
        </w:rPr>
        <w:t xml:space="preserve">hodnote </w:t>
      </w:r>
      <w:r w:rsidR="00711C2C">
        <w:rPr>
          <w:rFonts w:cs="Calibri"/>
          <w:b/>
        </w:rPr>
        <w:t>949,43</w:t>
      </w:r>
      <w:r w:rsidRPr="00117156">
        <w:rPr>
          <w:rFonts w:cs="Calibri"/>
          <w:b/>
        </w:rPr>
        <w:t xml:space="preserve"> mil. EUR</w:t>
      </w:r>
      <w:r w:rsidRPr="00117156">
        <w:rPr>
          <w:rFonts w:cs="Calibri"/>
        </w:rPr>
        <w:t xml:space="preserve">, čo predstavuje </w:t>
      </w:r>
      <w:r w:rsidR="00711C2C">
        <w:rPr>
          <w:rFonts w:cs="Calibri"/>
          <w:b/>
          <w:bCs/>
        </w:rPr>
        <w:t>7,54</w:t>
      </w:r>
      <w:r w:rsidRPr="00117156">
        <w:rPr>
          <w:rFonts w:cs="Calibri"/>
          <w:b/>
          <w:bCs/>
        </w:rPr>
        <w:t xml:space="preserve"> </w:t>
      </w:r>
      <w:r w:rsidRPr="00117156">
        <w:rPr>
          <w:rFonts w:cs="Calibri"/>
          <w:b/>
        </w:rPr>
        <w:t xml:space="preserve">% </w:t>
      </w:r>
      <w:r w:rsidRPr="00117156">
        <w:rPr>
          <w:rFonts w:cs="Calibri"/>
        </w:rPr>
        <w:t xml:space="preserve">z celkovej alokácie (EÚ zdroj). </w:t>
      </w:r>
    </w:p>
    <w:p w14:paraId="0DC014EA" w14:textId="1B9F2A02" w:rsidR="007E7600" w:rsidRDefault="007E7600" w:rsidP="004D28EC">
      <w:pPr>
        <w:suppressAutoHyphens w:val="0"/>
        <w:spacing w:before="120" w:line="240" w:lineRule="auto"/>
        <w:jc w:val="both"/>
        <w:rPr>
          <w:rFonts w:cs="Calibri"/>
        </w:rPr>
      </w:pPr>
      <w:r w:rsidRPr="00117156">
        <w:rPr>
          <w:rFonts w:cs="Calibri"/>
        </w:rPr>
        <w:t>K </w:t>
      </w:r>
      <w:r w:rsidR="00711C2C">
        <w:rPr>
          <w:rFonts w:cs="Calibri"/>
        </w:rPr>
        <w:t>09</w:t>
      </w:r>
      <w:r w:rsidR="00711C2C" w:rsidRPr="00117156">
        <w:rPr>
          <w:rFonts w:cs="Calibri"/>
        </w:rPr>
        <w:t>.</w:t>
      </w:r>
      <w:r w:rsidR="00711C2C">
        <w:rPr>
          <w:rFonts w:cs="Calibri"/>
        </w:rPr>
        <w:t>02</w:t>
      </w:r>
      <w:r w:rsidR="00711C2C" w:rsidRPr="00117156">
        <w:rPr>
          <w:rFonts w:cs="Calibri"/>
        </w:rPr>
        <w:t>.202</w:t>
      </w:r>
      <w:r w:rsidR="00711C2C">
        <w:rPr>
          <w:rFonts w:cs="Calibri"/>
        </w:rPr>
        <w:t>4</w:t>
      </w:r>
      <w:r w:rsidR="00711C2C" w:rsidRPr="00117156">
        <w:rPr>
          <w:rFonts w:cs="Calibri"/>
        </w:rPr>
        <w:t xml:space="preserve"> </w:t>
      </w:r>
      <w:r w:rsidRPr="00117156">
        <w:rPr>
          <w:rFonts w:cs="Calibri"/>
        </w:rPr>
        <w:t xml:space="preserve">boli </w:t>
      </w:r>
      <w:r w:rsidRPr="00117156">
        <w:rPr>
          <w:rFonts w:cs="Calibri"/>
          <w:b/>
        </w:rPr>
        <w:t>poskytnuté zálohové platby pre prijímateľov</w:t>
      </w:r>
      <w:r w:rsidRPr="00117156">
        <w:rPr>
          <w:rFonts w:cs="Calibri"/>
        </w:rPr>
        <w:t xml:space="preserve"> vo výške </w:t>
      </w:r>
      <w:r w:rsidR="00711C2C">
        <w:rPr>
          <w:rFonts w:cs="Calibri"/>
          <w:b/>
        </w:rPr>
        <w:t>127,13</w:t>
      </w:r>
      <w:r w:rsidRPr="00117156">
        <w:rPr>
          <w:rFonts w:cs="Calibri"/>
          <w:b/>
        </w:rPr>
        <w:t xml:space="preserve"> mil. EUR</w:t>
      </w:r>
      <w:r w:rsidRPr="00117156">
        <w:rPr>
          <w:rFonts w:cs="Calibri"/>
        </w:rPr>
        <w:t>, čo</w:t>
      </w:r>
      <w:r w:rsidR="00AB2665">
        <w:rPr>
          <w:rFonts w:cs="Calibri"/>
        </w:rPr>
        <w:t> </w:t>
      </w:r>
      <w:r w:rsidRPr="00117156">
        <w:rPr>
          <w:rFonts w:cs="Calibri"/>
        </w:rPr>
        <w:t xml:space="preserve">predstavuje </w:t>
      </w:r>
      <w:r w:rsidR="00711C2C">
        <w:rPr>
          <w:rFonts w:cs="Calibri"/>
          <w:b/>
        </w:rPr>
        <w:t>1,01</w:t>
      </w:r>
      <w:r w:rsidRPr="00117156">
        <w:rPr>
          <w:rFonts w:cs="Calibri"/>
          <w:b/>
        </w:rPr>
        <w:t xml:space="preserve"> % </w:t>
      </w:r>
      <w:r w:rsidRPr="00117156">
        <w:rPr>
          <w:rFonts w:cs="Calibri"/>
        </w:rPr>
        <w:t>z celkovej alokácie (EÚ zdroj).</w:t>
      </w:r>
    </w:p>
    <w:p w14:paraId="58E407EE" w14:textId="77777777" w:rsidR="004E460E" w:rsidRPr="00117156" w:rsidRDefault="004E460E" w:rsidP="004D28EC">
      <w:pPr>
        <w:suppressAutoHyphens w:val="0"/>
        <w:spacing w:line="240" w:lineRule="auto"/>
        <w:jc w:val="both"/>
        <w:rPr>
          <w:rFonts w:cs="Calibri"/>
        </w:rPr>
      </w:pPr>
    </w:p>
    <w:p w14:paraId="1CEF15E6" w14:textId="77777777" w:rsidR="007E7600" w:rsidRPr="00117156" w:rsidRDefault="007E7600" w:rsidP="004D28EC">
      <w:pPr>
        <w:spacing w:before="120" w:after="120" w:line="240" w:lineRule="auto"/>
        <w:jc w:val="both"/>
        <w:rPr>
          <w:rFonts w:cs="Calibri"/>
          <w:b/>
        </w:rPr>
        <w:sectPr w:rsidR="007E7600" w:rsidRPr="00117156" w:rsidSect="00EA5559">
          <w:footerReference w:type="default" r:id="rId15"/>
          <w:pgSz w:w="11906" w:h="16838" w:code="9"/>
          <w:pgMar w:top="1276" w:right="1416" w:bottom="1134" w:left="1418" w:header="720" w:footer="270" w:gutter="0"/>
          <w:cols w:space="720"/>
          <w:docGrid w:linePitch="360"/>
        </w:sectPr>
      </w:pPr>
    </w:p>
    <w:p w14:paraId="1B27D792" w14:textId="249E447D" w:rsidR="007E7600" w:rsidRDefault="007E7600" w:rsidP="004D28EC">
      <w:pPr>
        <w:tabs>
          <w:tab w:val="left" w:pos="1875"/>
        </w:tabs>
        <w:spacing w:line="240" w:lineRule="auto"/>
        <w:rPr>
          <w:rFonts w:cs="Calibri"/>
          <w:b/>
        </w:rPr>
      </w:pPr>
      <w:r w:rsidRPr="00117156">
        <w:rPr>
          <w:rFonts w:cs="Calibri"/>
          <w:b/>
        </w:rPr>
        <w:lastRenderedPageBreak/>
        <w:t>Tabuľka č.</w:t>
      </w:r>
      <w:r w:rsidR="004D28EC">
        <w:rPr>
          <w:rFonts w:cs="Calibri"/>
          <w:b/>
        </w:rPr>
        <w:t xml:space="preserve"> </w:t>
      </w:r>
      <w:r w:rsidR="00E824D4">
        <w:rPr>
          <w:rFonts w:cs="Calibri"/>
          <w:b/>
        </w:rPr>
        <w:t>7</w:t>
      </w:r>
      <w:r w:rsidRPr="00117156">
        <w:rPr>
          <w:rFonts w:cs="Calibri"/>
          <w:b/>
        </w:rPr>
        <w:t>: Stav implementácie P SK 2021 - 2027 k </w:t>
      </w:r>
      <w:r w:rsidR="008765CE">
        <w:rPr>
          <w:rFonts w:cs="Calibri"/>
          <w:b/>
        </w:rPr>
        <w:t>09</w:t>
      </w:r>
      <w:r w:rsidRPr="00117156">
        <w:rPr>
          <w:rFonts w:cs="Calibri"/>
          <w:b/>
        </w:rPr>
        <w:t>.</w:t>
      </w:r>
      <w:r w:rsidR="008765CE">
        <w:rPr>
          <w:rFonts w:cs="Calibri"/>
          <w:b/>
        </w:rPr>
        <w:t>02</w:t>
      </w:r>
      <w:r w:rsidRPr="00117156">
        <w:rPr>
          <w:rFonts w:cs="Calibri"/>
          <w:b/>
        </w:rPr>
        <w:t>.202</w:t>
      </w:r>
      <w:r w:rsidR="008765CE">
        <w:rPr>
          <w:rFonts w:cs="Calibri"/>
          <w:b/>
        </w:rPr>
        <w:t>4</w:t>
      </w:r>
      <w:r w:rsidRPr="00117156">
        <w:rPr>
          <w:rFonts w:cs="Calibri"/>
          <w:b/>
        </w:rPr>
        <w:t xml:space="preserve"> </w:t>
      </w:r>
    </w:p>
    <w:p w14:paraId="60E32283" w14:textId="3029C783" w:rsidR="008765CE" w:rsidRDefault="008765CE" w:rsidP="004D28EC">
      <w:pPr>
        <w:tabs>
          <w:tab w:val="left" w:pos="1875"/>
        </w:tabs>
        <w:spacing w:line="240" w:lineRule="auto"/>
        <w:rPr>
          <w:rFonts w:cs="Calibri"/>
          <w:b/>
        </w:rPr>
      </w:pPr>
      <w:r w:rsidRPr="008765CE">
        <w:rPr>
          <w:noProof/>
          <w:lang w:eastAsia="sk-SK"/>
        </w:rPr>
        <w:drawing>
          <wp:inline distT="0" distB="0" distL="0" distR="0" wp14:anchorId="1196C288" wp14:editId="7C74EB61">
            <wp:extent cx="8717793" cy="5490845"/>
            <wp:effectExtent l="0" t="0" r="762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340" cy="555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3A8F4" w14:textId="392048C1" w:rsidR="00E93E0B" w:rsidRDefault="007E7600" w:rsidP="004D28EC">
      <w:pPr>
        <w:tabs>
          <w:tab w:val="left" w:pos="1875"/>
        </w:tabs>
        <w:spacing w:line="240" w:lineRule="auto"/>
        <w:rPr>
          <w:rFonts w:cs="Calibri"/>
          <w:i/>
          <w:noProof/>
          <w:sz w:val="18"/>
          <w:szCs w:val="18"/>
          <w:lang w:eastAsia="sk-SK"/>
        </w:rPr>
      </w:pPr>
      <w:r w:rsidRPr="00117156">
        <w:rPr>
          <w:rFonts w:cs="Calibri"/>
          <w:i/>
          <w:noProof/>
          <w:sz w:val="18"/>
          <w:szCs w:val="18"/>
          <w:lang w:eastAsia="sk-SK"/>
        </w:rPr>
        <w:t>Zdroj:</w:t>
      </w:r>
      <w:r w:rsidRPr="00117156">
        <w:rPr>
          <w:rFonts w:cs="Calibri"/>
          <w:i/>
          <w:sz w:val="18"/>
          <w:szCs w:val="18"/>
        </w:rPr>
        <w:t xml:space="preserve"> </w:t>
      </w:r>
      <w:r w:rsidRPr="00117156">
        <w:rPr>
          <w:rFonts w:cs="Calibri"/>
          <w:i/>
          <w:noProof/>
          <w:sz w:val="18"/>
          <w:szCs w:val="18"/>
          <w:lang w:eastAsia="sk-SK"/>
        </w:rPr>
        <w:t xml:space="preserve">ITMS2014+ (2021-2027), export dát </w:t>
      </w:r>
      <w:r w:rsidR="008765CE">
        <w:rPr>
          <w:rFonts w:cs="Calibri"/>
          <w:i/>
          <w:noProof/>
          <w:sz w:val="18"/>
          <w:szCs w:val="18"/>
          <w:lang w:eastAsia="sk-SK"/>
        </w:rPr>
        <w:t>12.02.2024</w:t>
      </w:r>
      <w:r w:rsidR="00E93E0B">
        <w:rPr>
          <w:rFonts w:cs="Calibri"/>
          <w:i/>
          <w:noProof/>
          <w:sz w:val="18"/>
          <w:szCs w:val="18"/>
          <w:lang w:eastAsia="sk-SK"/>
        </w:rPr>
        <w:t>.</w:t>
      </w:r>
    </w:p>
    <w:p w14:paraId="42095A51" w14:textId="5E855C52" w:rsidR="007E7600" w:rsidRDefault="00E93E0B" w:rsidP="004D28EC">
      <w:pPr>
        <w:tabs>
          <w:tab w:val="left" w:pos="1875"/>
        </w:tabs>
        <w:spacing w:line="240" w:lineRule="auto"/>
        <w:rPr>
          <w:rFonts w:cs="Calibri"/>
          <w:i/>
          <w:noProof/>
          <w:sz w:val="18"/>
          <w:szCs w:val="18"/>
          <w:lang w:eastAsia="sk-SK"/>
        </w:rPr>
      </w:pPr>
      <w:r w:rsidRPr="00E93E0B">
        <w:rPr>
          <w:rFonts w:cs="Calibri"/>
          <w:i/>
          <w:noProof/>
          <w:sz w:val="18"/>
          <w:szCs w:val="18"/>
          <w:lang w:eastAsia="sk-SK"/>
        </w:rPr>
        <w:t>V prípade, že výzva, ŽoNFP alebo projekt sa týka viacerých priorít, zahŕňa sa do počtu každej priority, ktorej sa týka. Jedinečný počet je uvedený za cieľ politiky a program celkom.</w:t>
      </w:r>
    </w:p>
    <w:p w14:paraId="10AAA80F" w14:textId="0E8CEEEC" w:rsidR="007E7600" w:rsidRDefault="007E7600" w:rsidP="004D28EC">
      <w:pPr>
        <w:widowControl w:val="0"/>
        <w:tabs>
          <w:tab w:val="left" w:pos="1875"/>
        </w:tabs>
        <w:spacing w:before="120" w:line="240" w:lineRule="auto"/>
        <w:rPr>
          <w:rFonts w:cs="Calibri"/>
          <w:b/>
        </w:rPr>
      </w:pPr>
      <w:r w:rsidRPr="00117156">
        <w:rPr>
          <w:rFonts w:cs="Calibri"/>
          <w:b/>
        </w:rPr>
        <w:lastRenderedPageBreak/>
        <w:t>Tabuľka č.</w:t>
      </w:r>
      <w:r w:rsidR="004D28EC">
        <w:rPr>
          <w:rFonts w:cs="Calibri"/>
          <w:b/>
        </w:rPr>
        <w:t xml:space="preserve"> </w:t>
      </w:r>
      <w:r w:rsidR="00E824D4">
        <w:rPr>
          <w:rFonts w:cs="Calibri"/>
          <w:b/>
        </w:rPr>
        <w:t>8</w:t>
      </w:r>
      <w:r w:rsidRPr="00117156">
        <w:rPr>
          <w:rFonts w:cs="Calibri"/>
          <w:b/>
        </w:rPr>
        <w:t>: Stav prijatých a schválených žiadostí o nenávratný finančný príspevok (</w:t>
      </w:r>
      <w:proofErr w:type="spellStart"/>
      <w:r w:rsidRPr="00117156">
        <w:rPr>
          <w:rFonts w:cs="Calibri"/>
          <w:b/>
        </w:rPr>
        <w:t>ŽoNFP</w:t>
      </w:r>
      <w:proofErr w:type="spellEnd"/>
      <w:r w:rsidRPr="00117156">
        <w:rPr>
          <w:rFonts w:cs="Calibri"/>
          <w:b/>
        </w:rPr>
        <w:t>) k </w:t>
      </w:r>
      <w:r w:rsidR="00A55D37">
        <w:rPr>
          <w:rFonts w:cs="Calibri"/>
          <w:b/>
        </w:rPr>
        <w:t>09</w:t>
      </w:r>
      <w:r w:rsidR="00A55D37" w:rsidRPr="00A55D37">
        <w:rPr>
          <w:rFonts w:cs="Calibri"/>
          <w:b/>
        </w:rPr>
        <w:t>.02.2024</w:t>
      </w:r>
    </w:p>
    <w:p w14:paraId="2A4DF167" w14:textId="436A644E" w:rsidR="008765CE" w:rsidRDefault="008765CE" w:rsidP="0026542B">
      <w:pPr>
        <w:widowControl w:val="0"/>
        <w:tabs>
          <w:tab w:val="left" w:pos="1875"/>
        </w:tabs>
        <w:spacing w:line="240" w:lineRule="auto"/>
        <w:rPr>
          <w:rFonts w:cs="Calibri"/>
          <w:b/>
        </w:rPr>
      </w:pPr>
      <w:r w:rsidRPr="008765CE">
        <w:rPr>
          <w:noProof/>
          <w:lang w:eastAsia="sk-SK"/>
        </w:rPr>
        <w:drawing>
          <wp:inline distT="0" distB="0" distL="0" distR="0" wp14:anchorId="32D66465" wp14:editId="19197BD6">
            <wp:extent cx="7208874" cy="5480178"/>
            <wp:effectExtent l="0" t="0" r="0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43" cy="552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ED21C" w14:textId="7AF9A617" w:rsidR="007E7600" w:rsidRDefault="007E7600" w:rsidP="004D28EC">
      <w:pPr>
        <w:tabs>
          <w:tab w:val="left" w:pos="1875"/>
        </w:tabs>
        <w:spacing w:line="240" w:lineRule="auto"/>
        <w:rPr>
          <w:rFonts w:cs="Calibri"/>
          <w:i/>
          <w:noProof/>
          <w:sz w:val="18"/>
          <w:szCs w:val="18"/>
          <w:lang w:eastAsia="sk-SK"/>
        </w:rPr>
      </w:pPr>
      <w:r w:rsidRPr="00117156">
        <w:rPr>
          <w:rFonts w:cs="Calibri"/>
          <w:i/>
          <w:noProof/>
          <w:sz w:val="18"/>
          <w:szCs w:val="18"/>
          <w:lang w:eastAsia="sk-SK"/>
        </w:rPr>
        <w:t>Zdroj:</w:t>
      </w:r>
      <w:r w:rsidRPr="00117156">
        <w:rPr>
          <w:rFonts w:cs="Calibri"/>
          <w:i/>
          <w:sz w:val="18"/>
          <w:szCs w:val="18"/>
        </w:rPr>
        <w:t xml:space="preserve"> </w:t>
      </w:r>
      <w:r w:rsidRPr="00117156">
        <w:rPr>
          <w:rFonts w:cs="Calibri"/>
          <w:i/>
          <w:noProof/>
          <w:sz w:val="18"/>
          <w:szCs w:val="18"/>
          <w:lang w:eastAsia="sk-SK"/>
        </w:rPr>
        <w:t xml:space="preserve">ITMS2014+ (2021-2027), export dát </w:t>
      </w:r>
      <w:r w:rsidR="008765CE">
        <w:rPr>
          <w:rFonts w:cs="Calibri"/>
          <w:i/>
          <w:noProof/>
          <w:sz w:val="18"/>
          <w:szCs w:val="18"/>
          <w:lang w:eastAsia="sk-SK"/>
        </w:rPr>
        <w:t>12.02.2024</w:t>
      </w:r>
      <w:r w:rsidRPr="00117156">
        <w:rPr>
          <w:rFonts w:cs="Calibri"/>
          <w:i/>
          <w:noProof/>
          <w:sz w:val="18"/>
          <w:szCs w:val="18"/>
          <w:lang w:eastAsia="sk-SK"/>
        </w:rPr>
        <w:t>; COV= celkové oprávnené výdavky</w:t>
      </w:r>
      <w:r w:rsidR="00E93E0B">
        <w:rPr>
          <w:rFonts w:cs="Calibri"/>
          <w:i/>
          <w:noProof/>
          <w:sz w:val="18"/>
          <w:szCs w:val="18"/>
          <w:lang w:eastAsia="sk-SK"/>
        </w:rPr>
        <w:t>.</w:t>
      </w:r>
    </w:p>
    <w:p w14:paraId="55F06E33" w14:textId="77777777" w:rsidR="00E93E0B" w:rsidRDefault="00E93E0B" w:rsidP="00E93E0B">
      <w:pPr>
        <w:tabs>
          <w:tab w:val="left" w:pos="1875"/>
        </w:tabs>
        <w:spacing w:line="240" w:lineRule="auto"/>
        <w:rPr>
          <w:rFonts w:cs="Calibri"/>
          <w:i/>
          <w:noProof/>
          <w:sz w:val="18"/>
          <w:szCs w:val="18"/>
          <w:lang w:eastAsia="sk-SK"/>
        </w:rPr>
      </w:pPr>
      <w:r w:rsidRPr="00E93E0B">
        <w:rPr>
          <w:rFonts w:cs="Calibri"/>
          <w:i/>
          <w:noProof/>
          <w:sz w:val="18"/>
          <w:szCs w:val="18"/>
          <w:lang w:eastAsia="sk-SK"/>
        </w:rPr>
        <w:t>V prípade, že výzva, ŽoNFP alebo projekt sa týka viacerých priorít, zahŕňa sa do počtu každej priority, ktorej sa týka. Jedinečný počet je uvedený za cieľ politiky a program celkom.</w:t>
      </w:r>
    </w:p>
    <w:p w14:paraId="5665C8A6" w14:textId="77777777" w:rsidR="00E93E0B" w:rsidRPr="00E93E0B" w:rsidRDefault="00E93E0B" w:rsidP="004D28EC">
      <w:pPr>
        <w:tabs>
          <w:tab w:val="left" w:pos="1875"/>
        </w:tabs>
        <w:spacing w:line="240" w:lineRule="auto"/>
        <w:rPr>
          <w:rFonts w:cs="Calibri"/>
          <w:i/>
          <w:noProof/>
          <w:sz w:val="18"/>
          <w:szCs w:val="18"/>
          <w:lang w:eastAsia="sk-SK"/>
        </w:rPr>
        <w:sectPr w:rsidR="00E93E0B" w:rsidRPr="00E93E0B" w:rsidSect="00FD3D3B">
          <w:pgSz w:w="16838" w:h="11906" w:orient="landscape" w:code="9"/>
          <w:pgMar w:top="1134" w:right="1276" w:bottom="1416" w:left="1134" w:header="720" w:footer="270" w:gutter="0"/>
          <w:cols w:space="720"/>
          <w:docGrid w:linePitch="360"/>
        </w:sectPr>
      </w:pPr>
    </w:p>
    <w:p w14:paraId="282F6287" w14:textId="5A28396D" w:rsidR="007E7600" w:rsidRPr="00117156" w:rsidRDefault="007E7600" w:rsidP="004D28EC">
      <w:pPr>
        <w:spacing w:before="120" w:after="120" w:line="240" w:lineRule="auto"/>
        <w:jc w:val="both"/>
        <w:rPr>
          <w:rFonts w:cs="Calibri"/>
          <w:b/>
          <w:noProof/>
          <w:u w:val="single"/>
          <w:lang w:eastAsia="sk-SK"/>
        </w:rPr>
      </w:pPr>
      <w:r w:rsidRPr="007D57A2">
        <w:rPr>
          <w:rFonts w:cs="Calibri"/>
          <w:b/>
          <w:noProof/>
          <w:u w:val="single"/>
          <w:lang w:eastAsia="sk-SK"/>
        </w:rPr>
        <w:lastRenderedPageBreak/>
        <w:t xml:space="preserve">Sumárny prehľad aktuálneho stavu jednotlivých krokov implementácie P SK 2021 </w:t>
      </w:r>
      <w:r w:rsidR="00AB2665">
        <w:rPr>
          <w:rFonts w:cs="Calibri"/>
          <w:b/>
          <w:noProof/>
          <w:u w:val="single"/>
          <w:lang w:eastAsia="sk-SK"/>
        </w:rPr>
        <w:t>–</w:t>
      </w:r>
      <w:r w:rsidRPr="007D57A2">
        <w:rPr>
          <w:rFonts w:cs="Calibri"/>
          <w:b/>
          <w:noProof/>
          <w:u w:val="single"/>
          <w:lang w:eastAsia="sk-SK"/>
        </w:rPr>
        <w:t xml:space="preserve"> 2027:</w:t>
      </w:r>
    </w:p>
    <w:p w14:paraId="3CE38D2A" w14:textId="40F57C38" w:rsidR="007E7600" w:rsidRDefault="007E7600" w:rsidP="004D28EC">
      <w:pPr>
        <w:spacing w:before="120" w:after="120" w:line="240" w:lineRule="auto"/>
        <w:jc w:val="both"/>
        <w:rPr>
          <w:rFonts w:cs="Calibri"/>
          <w:b/>
        </w:rPr>
      </w:pPr>
      <w:r w:rsidRPr="00117156">
        <w:rPr>
          <w:rFonts w:cs="Calibri"/>
          <w:noProof/>
          <w:lang w:eastAsia="sk-SK"/>
        </w:rPr>
        <w:drawing>
          <wp:inline distT="0" distB="0" distL="0" distR="0" wp14:anchorId="1EE43FF8" wp14:editId="622E1FDA">
            <wp:extent cx="5676406" cy="3667125"/>
            <wp:effectExtent l="19050" t="0" r="38735" b="9525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24AB52A7" w14:textId="2CE6CD6F" w:rsidR="003B2649" w:rsidRDefault="003B2649" w:rsidP="004D28EC">
      <w:pPr>
        <w:spacing w:before="120" w:after="120" w:line="240" w:lineRule="auto"/>
        <w:jc w:val="both"/>
        <w:rPr>
          <w:rFonts w:cs="Calibri"/>
          <w:b/>
        </w:rPr>
      </w:pPr>
    </w:p>
    <w:p w14:paraId="00AB5FF9" w14:textId="3D862A39" w:rsidR="007E7600" w:rsidRPr="00527E64" w:rsidRDefault="007E7600" w:rsidP="004D28EC">
      <w:pPr>
        <w:pBdr>
          <w:top w:val="single" w:sz="12" w:space="1" w:color="44546A" w:themeColor="text2"/>
          <w:left w:val="single" w:sz="12" w:space="4" w:color="44546A" w:themeColor="text2"/>
          <w:bottom w:val="single" w:sz="12" w:space="6" w:color="44546A" w:themeColor="text2"/>
          <w:right w:val="single" w:sz="12" w:space="4" w:color="44546A" w:themeColor="text2"/>
        </w:pBdr>
        <w:spacing w:before="120" w:after="120" w:line="240" w:lineRule="auto"/>
        <w:jc w:val="both"/>
        <w:rPr>
          <w:rFonts w:cs="Calibri"/>
          <w:b/>
          <w:u w:val="single"/>
        </w:rPr>
      </w:pPr>
      <w:r w:rsidRPr="00527E64">
        <w:rPr>
          <w:rFonts w:cs="Calibri"/>
          <w:b/>
          <w:u w:val="single"/>
        </w:rPr>
        <w:t xml:space="preserve">Opatrenia, ktoré je potrebné prijať, </w:t>
      </w:r>
      <w:r w:rsidRPr="00527E64">
        <w:rPr>
          <w:rFonts w:cs="Calibri"/>
          <w:u w:val="single"/>
        </w:rPr>
        <w:t>v súvislosti so zabezpečením plynulej</w:t>
      </w:r>
      <w:r w:rsidR="00096627" w:rsidRPr="00527E64">
        <w:rPr>
          <w:rFonts w:cs="Calibri"/>
          <w:u w:val="single"/>
        </w:rPr>
        <w:t xml:space="preserve"> implementácie</w:t>
      </w:r>
      <w:r w:rsidRPr="00527E64">
        <w:rPr>
          <w:rFonts w:cs="Calibri"/>
          <w:u w:val="single"/>
        </w:rPr>
        <w:t xml:space="preserve"> </w:t>
      </w:r>
      <w:r w:rsidR="00F240DA" w:rsidRPr="00527E64">
        <w:rPr>
          <w:rFonts w:cs="Calibri"/>
          <w:u w:val="single"/>
        </w:rPr>
        <w:t xml:space="preserve">P SK </w:t>
      </w:r>
      <w:r w:rsidRPr="00527E64">
        <w:rPr>
          <w:rFonts w:cs="Calibri"/>
          <w:color w:val="000000" w:themeColor="text1"/>
          <w:u w:val="single"/>
        </w:rPr>
        <w:t>2021 – 2027</w:t>
      </w:r>
      <w:r w:rsidRPr="00527E64">
        <w:rPr>
          <w:rFonts w:cs="Calibri"/>
          <w:u w:val="single"/>
        </w:rPr>
        <w:t>:</w:t>
      </w:r>
    </w:p>
    <w:p w14:paraId="2D57D429" w14:textId="6B4FCFDF" w:rsidR="00F240DA" w:rsidRDefault="007E7600" w:rsidP="004D28EC">
      <w:pPr>
        <w:pBdr>
          <w:top w:val="single" w:sz="12" w:space="1" w:color="44546A" w:themeColor="text2"/>
          <w:left w:val="single" w:sz="12" w:space="4" w:color="44546A" w:themeColor="text2"/>
          <w:bottom w:val="single" w:sz="12" w:space="6" w:color="44546A" w:themeColor="text2"/>
          <w:right w:val="single" w:sz="12" w:space="4" w:color="44546A" w:themeColor="text2"/>
        </w:pBdr>
        <w:spacing w:before="120" w:after="120" w:line="240" w:lineRule="auto"/>
        <w:ind w:left="142" w:hanging="142"/>
        <w:jc w:val="both"/>
        <w:rPr>
          <w:rFonts w:cs="Calibri"/>
          <w:b/>
        </w:rPr>
      </w:pPr>
      <w:r w:rsidRPr="00A81CA0">
        <w:rPr>
          <w:rFonts w:cs="Calibri"/>
        </w:rPr>
        <w:t xml:space="preserve">- </w:t>
      </w:r>
      <w:r w:rsidR="00A81CA0" w:rsidRPr="00A81CA0">
        <w:rPr>
          <w:rFonts w:cs="Calibri"/>
          <w:b/>
        </w:rPr>
        <w:t xml:space="preserve">zaslať </w:t>
      </w:r>
      <w:r w:rsidR="00847E80">
        <w:rPr>
          <w:rFonts w:cs="Calibri"/>
          <w:b/>
        </w:rPr>
        <w:t xml:space="preserve">riadiacemu orgánu </w:t>
      </w:r>
      <w:r w:rsidR="00A81CA0" w:rsidRPr="00A81CA0">
        <w:rPr>
          <w:rFonts w:cs="Calibri"/>
          <w:b/>
        </w:rPr>
        <w:t>aktualizovaný</w:t>
      </w:r>
      <w:r w:rsidR="00847E80">
        <w:rPr>
          <w:rFonts w:cs="Calibri"/>
          <w:b/>
        </w:rPr>
        <w:t xml:space="preserve"> návrh </w:t>
      </w:r>
      <w:r w:rsidR="00A81CA0" w:rsidRPr="00A81CA0">
        <w:rPr>
          <w:rFonts w:cs="Calibri"/>
          <w:b/>
        </w:rPr>
        <w:t>harmonogram</w:t>
      </w:r>
      <w:r w:rsidR="00847E80">
        <w:rPr>
          <w:rFonts w:cs="Calibri"/>
          <w:b/>
        </w:rPr>
        <w:t>u</w:t>
      </w:r>
      <w:r w:rsidR="00A81CA0" w:rsidRPr="00A81CA0">
        <w:rPr>
          <w:rFonts w:cs="Calibri"/>
          <w:b/>
        </w:rPr>
        <w:t xml:space="preserve"> </w:t>
      </w:r>
      <w:r w:rsidR="005C42DE">
        <w:rPr>
          <w:rFonts w:cs="Calibri"/>
          <w:b/>
        </w:rPr>
        <w:t xml:space="preserve">plánovaných </w:t>
      </w:r>
      <w:r w:rsidR="00A81CA0" w:rsidRPr="00A81CA0">
        <w:rPr>
          <w:rFonts w:cs="Calibri"/>
          <w:b/>
        </w:rPr>
        <w:t>výziev na ro</w:t>
      </w:r>
      <w:r w:rsidR="00847E80">
        <w:rPr>
          <w:rFonts w:cs="Calibri"/>
          <w:b/>
        </w:rPr>
        <w:t>ky 2024 a</w:t>
      </w:r>
      <w:r w:rsidR="002E4E05">
        <w:rPr>
          <w:rFonts w:cs="Calibri"/>
          <w:b/>
        </w:rPr>
        <w:t> </w:t>
      </w:r>
      <w:r w:rsidR="00847E80">
        <w:rPr>
          <w:rFonts w:cs="Calibri"/>
          <w:b/>
        </w:rPr>
        <w:t>2025</w:t>
      </w:r>
      <w:r w:rsidR="002E4E05">
        <w:rPr>
          <w:rFonts w:cs="Calibri"/>
          <w:b/>
        </w:rPr>
        <w:t xml:space="preserve"> tak</w:t>
      </w:r>
      <w:r w:rsidR="005C42DE">
        <w:rPr>
          <w:rFonts w:cs="Calibri"/>
          <w:b/>
        </w:rPr>
        <w:t>, aby bol naplnený investičný plán v súlade so zmluvou o</w:t>
      </w:r>
      <w:r w:rsidR="00CB7AF4">
        <w:rPr>
          <w:rFonts w:cs="Calibri"/>
          <w:b/>
        </w:rPr>
        <w:t> </w:t>
      </w:r>
      <w:r w:rsidR="005C42DE">
        <w:rPr>
          <w:rFonts w:cs="Calibri"/>
          <w:b/>
        </w:rPr>
        <w:t>poverení</w:t>
      </w:r>
      <w:r w:rsidR="004D28EC">
        <w:rPr>
          <w:rStyle w:val="Odkaznapoznmkupodiarou"/>
          <w:rFonts w:cs="Calibri"/>
          <w:b/>
        </w:rPr>
        <w:footnoteReference w:id="2"/>
      </w:r>
      <w:r w:rsidR="002B1733">
        <w:rPr>
          <w:rFonts w:cs="Calibri"/>
          <w:b/>
        </w:rPr>
        <w:t xml:space="preserve"> </w:t>
      </w:r>
      <w:r w:rsidR="002B1733">
        <w:rPr>
          <w:rFonts w:cs="Calibri"/>
        </w:rPr>
        <w:t>(s výnimkou ÚVO);</w:t>
      </w:r>
    </w:p>
    <w:p w14:paraId="6114DDD7" w14:textId="3338038B" w:rsidR="00847E80" w:rsidRPr="00A81CA0" w:rsidRDefault="00847E80" w:rsidP="004D28EC">
      <w:pPr>
        <w:pBdr>
          <w:top w:val="single" w:sz="12" w:space="1" w:color="44546A" w:themeColor="text2"/>
          <w:left w:val="single" w:sz="12" w:space="4" w:color="44546A" w:themeColor="text2"/>
          <w:bottom w:val="single" w:sz="12" w:space="6" w:color="44546A" w:themeColor="text2"/>
          <w:right w:val="single" w:sz="12" w:space="4" w:color="44546A" w:themeColor="text2"/>
        </w:pBdr>
        <w:spacing w:before="120" w:after="120" w:line="240" w:lineRule="auto"/>
        <w:ind w:left="142" w:hanging="142"/>
        <w:jc w:val="both"/>
        <w:rPr>
          <w:rFonts w:asciiTheme="minorHAnsi" w:hAnsiTheme="minorHAnsi" w:cstheme="minorHAnsi"/>
          <w:i/>
          <w:u w:val="single"/>
        </w:rPr>
      </w:pPr>
      <w:r>
        <w:rPr>
          <w:rFonts w:cs="Calibri"/>
          <w:b/>
        </w:rPr>
        <w:tab/>
        <w:t>T: 06.03.2024;</w:t>
      </w:r>
    </w:p>
    <w:p w14:paraId="57613AC5" w14:textId="2A018FC0" w:rsidR="007E7600" w:rsidRDefault="007E7600" w:rsidP="004D28EC">
      <w:pPr>
        <w:pBdr>
          <w:top w:val="single" w:sz="12" w:space="1" w:color="44546A" w:themeColor="text2"/>
          <w:left w:val="single" w:sz="12" w:space="4" w:color="44546A" w:themeColor="text2"/>
          <w:bottom w:val="single" w:sz="12" w:space="6" w:color="44546A" w:themeColor="text2"/>
          <w:right w:val="single" w:sz="12" w:space="4" w:color="44546A" w:themeColor="text2"/>
        </w:pBdr>
        <w:spacing w:before="120" w:after="120" w:line="240" w:lineRule="auto"/>
        <w:jc w:val="both"/>
        <w:rPr>
          <w:rFonts w:cs="Calibri"/>
          <w:b/>
        </w:rPr>
      </w:pPr>
      <w:r w:rsidRPr="00A81CA0">
        <w:rPr>
          <w:rFonts w:cs="Calibri"/>
        </w:rPr>
        <w:t xml:space="preserve">- </w:t>
      </w:r>
      <w:r w:rsidR="00847E80" w:rsidRPr="00847E80">
        <w:rPr>
          <w:rFonts w:cs="Calibri"/>
          <w:b/>
        </w:rPr>
        <w:t xml:space="preserve">po prerokovaní aktualizovaného návrhu harmonogramu </w:t>
      </w:r>
      <w:r w:rsidR="005C42DE">
        <w:rPr>
          <w:rFonts w:cs="Calibri"/>
          <w:b/>
        </w:rPr>
        <w:t xml:space="preserve">plánovaných </w:t>
      </w:r>
      <w:r w:rsidR="00847E80" w:rsidRPr="00847E80">
        <w:rPr>
          <w:rFonts w:cs="Calibri"/>
          <w:b/>
        </w:rPr>
        <w:t xml:space="preserve">výziev </w:t>
      </w:r>
      <w:r w:rsidR="00AB2665">
        <w:rPr>
          <w:rFonts w:cs="Calibri"/>
          <w:b/>
        </w:rPr>
        <w:t>m</w:t>
      </w:r>
      <w:r w:rsidR="00847E80" w:rsidRPr="00847E80">
        <w:rPr>
          <w:rFonts w:cs="Calibri"/>
          <w:b/>
        </w:rPr>
        <w:t>onitorovacím výborom a</w:t>
      </w:r>
      <w:r w:rsidR="00E2656B">
        <w:rPr>
          <w:rFonts w:cs="Calibri"/>
          <w:b/>
        </w:rPr>
        <w:t xml:space="preserve"> po </w:t>
      </w:r>
      <w:r w:rsidR="00847E80" w:rsidRPr="00847E80">
        <w:rPr>
          <w:rFonts w:cs="Calibri"/>
          <w:b/>
        </w:rPr>
        <w:t>jeho vzatí na vedomie</w:t>
      </w:r>
      <w:r w:rsidR="00E2656B">
        <w:rPr>
          <w:rFonts w:cs="Calibri"/>
          <w:b/>
        </w:rPr>
        <w:t>,</w:t>
      </w:r>
      <w:r w:rsidR="00847E80" w:rsidRPr="00847E80">
        <w:rPr>
          <w:rFonts w:cs="Calibri"/>
          <w:b/>
        </w:rPr>
        <w:t xml:space="preserve"> do</w:t>
      </w:r>
      <w:r w:rsidR="00847E80">
        <w:rPr>
          <w:rFonts w:cs="Calibri"/>
          <w:b/>
        </w:rPr>
        <w:t>d</w:t>
      </w:r>
      <w:r w:rsidR="00847E80" w:rsidRPr="00847E80">
        <w:rPr>
          <w:rFonts w:cs="Calibri"/>
          <w:b/>
        </w:rPr>
        <w:t xml:space="preserve">ržiavať termíny v ňom stanovené. </w:t>
      </w:r>
      <w:r w:rsidR="00847E80" w:rsidRPr="0030344C">
        <w:rPr>
          <w:rFonts w:cs="Calibri"/>
        </w:rPr>
        <w:t>Sprostredkovateľský orgán, resp. implementa</w:t>
      </w:r>
      <w:r w:rsidR="005C42DE">
        <w:rPr>
          <w:rFonts w:cs="Calibri"/>
        </w:rPr>
        <w:t>čná</w:t>
      </w:r>
      <w:r w:rsidR="00847E80" w:rsidRPr="0030344C">
        <w:rPr>
          <w:rFonts w:cs="Calibri"/>
        </w:rPr>
        <w:t xml:space="preserve"> sekcia MIRRI SR je oprávnená posunúť plánovaný termín vyhlásenia výzvy iba v prípadoch, kedy z objektívnych dôvodov nie je možné pristúpiť k jej vyhláseniu v pôvodnom termíne a po schválení riadiac</w:t>
      </w:r>
      <w:r w:rsidR="004D28EC">
        <w:rPr>
          <w:rFonts w:cs="Calibri"/>
        </w:rPr>
        <w:t>im</w:t>
      </w:r>
      <w:r w:rsidR="00847E80" w:rsidRPr="0030344C">
        <w:rPr>
          <w:rFonts w:cs="Calibri"/>
        </w:rPr>
        <w:t xml:space="preserve"> orgán</w:t>
      </w:r>
      <w:r w:rsidR="004D28EC">
        <w:rPr>
          <w:rFonts w:cs="Calibri"/>
        </w:rPr>
        <w:t>om</w:t>
      </w:r>
      <w:r w:rsidR="00847E80" w:rsidRPr="0030344C">
        <w:rPr>
          <w:rFonts w:cs="Calibri"/>
        </w:rPr>
        <w:t>;</w:t>
      </w:r>
    </w:p>
    <w:p w14:paraId="22AC18D5" w14:textId="02896C8B" w:rsidR="00847E80" w:rsidRDefault="00847E80" w:rsidP="004D28EC">
      <w:pPr>
        <w:pBdr>
          <w:top w:val="single" w:sz="12" w:space="1" w:color="44546A" w:themeColor="text2"/>
          <w:left w:val="single" w:sz="12" w:space="4" w:color="44546A" w:themeColor="text2"/>
          <w:bottom w:val="single" w:sz="12" w:space="6" w:color="44546A" w:themeColor="text2"/>
          <w:right w:val="single" w:sz="12" w:space="4" w:color="44546A" w:themeColor="text2"/>
        </w:pBdr>
        <w:spacing w:before="120" w:after="120" w:line="240" w:lineRule="auto"/>
        <w:ind w:left="142" w:hanging="142"/>
        <w:jc w:val="both"/>
        <w:rPr>
          <w:rFonts w:cs="Calibri"/>
          <w:b/>
        </w:rPr>
      </w:pPr>
      <w:r>
        <w:rPr>
          <w:rFonts w:cs="Calibri"/>
          <w:b/>
        </w:rPr>
        <w:tab/>
        <w:t>T: priebežne</w:t>
      </w:r>
      <w:r w:rsidR="00215832">
        <w:rPr>
          <w:rFonts w:cs="Calibri"/>
          <w:b/>
        </w:rPr>
        <w:t>.</w:t>
      </w:r>
    </w:p>
    <w:p w14:paraId="1A7D2681" w14:textId="1AA251C4" w:rsidR="007B29A3" w:rsidRDefault="007B29A3" w:rsidP="004D28EC">
      <w:pPr>
        <w:suppressAutoHyphens w:val="0"/>
        <w:spacing w:after="160" w:line="240" w:lineRule="auto"/>
        <w:rPr>
          <w:rFonts w:cs="Calibri"/>
        </w:rPr>
      </w:pPr>
    </w:p>
    <w:p w14:paraId="069CD607" w14:textId="77777777" w:rsidR="007B29A3" w:rsidRPr="00812314" w:rsidRDefault="007B29A3" w:rsidP="004D28EC">
      <w:pPr>
        <w:pStyle w:val="Bezriadkovania"/>
        <w:spacing w:before="80" w:after="80"/>
        <w:jc w:val="both"/>
        <w:rPr>
          <w:rFonts w:ascii="Calibri" w:hAnsi="Calibri" w:cs="Calibri"/>
        </w:rPr>
      </w:pPr>
    </w:p>
    <w:sectPr w:rsidR="007B29A3" w:rsidRPr="00812314" w:rsidSect="002E189D">
      <w:footerReference w:type="default" r:id="rId23"/>
      <w:pgSz w:w="11906" w:h="16838" w:code="9"/>
      <w:pgMar w:top="1276" w:right="1416" w:bottom="993" w:left="1418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F17F6" w14:textId="77777777" w:rsidR="00B42122" w:rsidRDefault="00B42122" w:rsidP="009736EA">
      <w:pPr>
        <w:spacing w:line="240" w:lineRule="auto"/>
      </w:pPr>
      <w:r>
        <w:separator/>
      </w:r>
    </w:p>
  </w:endnote>
  <w:endnote w:type="continuationSeparator" w:id="0">
    <w:p w14:paraId="07C6CD72" w14:textId="77777777" w:rsidR="00B42122" w:rsidRDefault="00B42122" w:rsidP="00973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2106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4AAD95" w14:textId="1682F42F" w:rsidR="00B42122" w:rsidRPr="003035BD" w:rsidRDefault="00B42122">
        <w:pPr>
          <w:pStyle w:val="Pta"/>
          <w:jc w:val="center"/>
          <w:rPr>
            <w:sz w:val="18"/>
            <w:szCs w:val="18"/>
          </w:rPr>
        </w:pPr>
        <w:r w:rsidRPr="003035BD">
          <w:rPr>
            <w:sz w:val="18"/>
            <w:szCs w:val="18"/>
          </w:rPr>
          <w:fldChar w:fldCharType="begin"/>
        </w:r>
        <w:r w:rsidRPr="003035BD">
          <w:rPr>
            <w:sz w:val="18"/>
            <w:szCs w:val="18"/>
          </w:rPr>
          <w:instrText>PAGE   \* MERGEFORMAT</w:instrText>
        </w:r>
        <w:r w:rsidRPr="003035BD">
          <w:rPr>
            <w:sz w:val="18"/>
            <w:szCs w:val="18"/>
          </w:rPr>
          <w:fldChar w:fldCharType="separate"/>
        </w:r>
        <w:r w:rsidR="002E189D">
          <w:rPr>
            <w:noProof/>
            <w:sz w:val="18"/>
            <w:szCs w:val="18"/>
          </w:rPr>
          <w:t>15</w:t>
        </w:r>
        <w:r w:rsidRPr="003035BD">
          <w:rPr>
            <w:sz w:val="18"/>
            <w:szCs w:val="18"/>
          </w:rPr>
          <w:fldChar w:fldCharType="end"/>
        </w:r>
      </w:p>
    </w:sdtContent>
  </w:sdt>
  <w:p w14:paraId="5AF2113B" w14:textId="77777777" w:rsidR="00B42122" w:rsidRDefault="00B421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234440"/>
      <w:docPartObj>
        <w:docPartGallery w:val="Page Numbers (Bottom of Page)"/>
        <w:docPartUnique/>
      </w:docPartObj>
    </w:sdtPr>
    <w:sdtEndPr/>
    <w:sdtContent>
      <w:p w14:paraId="7EF04946" w14:textId="39E2D527" w:rsidR="00B42122" w:rsidRDefault="00B4212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89D">
          <w:rPr>
            <w:noProof/>
          </w:rPr>
          <w:t>16</w:t>
        </w:r>
        <w:r>
          <w:fldChar w:fldCharType="end"/>
        </w:r>
      </w:p>
    </w:sdtContent>
  </w:sdt>
  <w:p w14:paraId="6337FA80" w14:textId="77777777" w:rsidR="00B42122" w:rsidRDefault="00B421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36507" w14:textId="77777777" w:rsidR="00B42122" w:rsidRDefault="00B42122" w:rsidP="009736EA">
      <w:pPr>
        <w:spacing w:line="240" w:lineRule="auto"/>
      </w:pPr>
      <w:r>
        <w:separator/>
      </w:r>
    </w:p>
  </w:footnote>
  <w:footnote w:type="continuationSeparator" w:id="0">
    <w:p w14:paraId="5D887623" w14:textId="77777777" w:rsidR="00B42122" w:rsidRDefault="00B42122" w:rsidP="009736EA">
      <w:pPr>
        <w:spacing w:line="240" w:lineRule="auto"/>
      </w:pPr>
      <w:r>
        <w:continuationSeparator/>
      </w:r>
    </w:p>
  </w:footnote>
  <w:footnote w:id="1">
    <w:p w14:paraId="27E3316B" w14:textId="749660B7" w:rsidR="00B42122" w:rsidRPr="00780CBD" w:rsidRDefault="00B42122" w:rsidP="007E7600">
      <w:pPr>
        <w:pStyle w:val="Textpoznmkypodiarou"/>
        <w:jc w:val="both"/>
        <w:rPr>
          <w:sz w:val="18"/>
          <w:szCs w:val="18"/>
        </w:rPr>
      </w:pPr>
      <w:r w:rsidRPr="00780CBD">
        <w:rPr>
          <w:rStyle w:val="Odkaznapoznmkupodiarou"/>
          <w:sz w:val="18"/>
          <w:szCs w:val="18"/>
        </w:rPr>
        <w:footnoteRef/>
      </w:r>
      <w:r w:rsidRPr="00780CBD">
        <w:rPr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 w:rsidRPr="00780CBD">
        <w:rPr>
          <w:sz w:val="18"/>
          <w:szCs w:val="18"/>
        </w:rPr>
        <w:t xml:space="preserve">omisia pre cieľ politiky 1, komisia pre cieľ politiky 2, komisia pre cieľ politiky 3, komisia pre cieľ politiky 4, komisia pre integrovaný územný rozvoj a cieľ politiky 5, komisia pre Fond </w:t>
      </w:r>
      <w:r>
        <w:rPr>
          <w:sz w:val="18"/>
          <w:szCs w:val="18"/>
        </w:rPr>
        <w:t xml:space="preserve">na </w:t>
      </w:r>
      <w:r w:rsidRPr="00780CBD">
        <w:rPr>
          <w:sz w:val="18"/>
          <w:szCs w:val="18"/>
        </w:rPr>
        <w:t>spravodliv</w:t>
      </w:r>
      <w:r>
        <w:rPr>
          <w:sz w:val="18"/>
          <w:szCs w:val="18"/>
        </w:rPr>
        <w:t>ú</w:t>
      </w:r>
      <w:r w:rsidRPr="00780CBD">
        <w:rPr>
          <w:sz w:val="18"/>
          <w:szCs w:val="18"/>
        </w:rPr>
        <w:t xml:space="preserve"> transformáci</w:t>
      </w:r>
      <w:r>
        <w:rPr>
          <w:sz w:val="18"/>
          <w:szCs w:val="18"/>
        </w:rPr>
        <w:t>u</w:t>
      </w:r>
      <w:r w:rsidRPr="00780CBD">
        <w:rPr>
          <w:sz w:val="18"/>
          <w:szCs w:val="18"/>
        </w:rPr>
        <w:t>, komisia pre marginalizované rómske komunity, komisia pre administratívne kapacity</w:t>
      </w:r>
      <w:r>
        <w:rPr>
          <w:sz w:val="18"/>
          <w:szCs w:val="18"/>
        </w:rPr>
        <w:t>.</w:t>
      </w:r>
    </w:p>
  </w:footnote>
  <w:footnote w:id="2">
    <w:p w14:paraId="7E5A9C11" w14:textId="59F8551E" w:rsidR="00B42122" w:rsidRPr="004D28EC" w:rsidRDefault="00B42122" w:rsidP="004D28EC">
      <w:pPr>
        <w:pStyle w:val="Textpoznmkypodiarou"/>
        <w:spacing w:after="0" w:line="240" w:lineRule="auto"/>
        <w:jc w:val="both"/>
        <w:rPr>
          <w:sz w:val="16"/>
          <w:szCs w:val="16"/>
        </w:rPr>
      </w:pPr>
      <w:r w:rsidRPr="004D28EC">
        <w:rPr>
          <w:rStyle w:val="Odkaznapoznmkupodiarou"/>
          <w:sz w:val="16"/>
          <w:szCs w:val="16"/>
        </w:rPr>
        <w:footnoteRef/>
      </w:r>
      <w:r w:rsidRPr="004D28EC">
        <w:rPr>
          <w:sz w:val="16"/>
          <w:szCs w:val="16"/>
        </w:rPr>
        <w:t xml:space="preserve"> Zmluva o poverení na vykonávanie časti úloh riadiaceho orgánu sprostredkovateľským orgánom a o zodpovednostiach súvisiacich s týmto poverením. Investičný plán implementačných sekcií RO je stanovený v Manuáli procedúr Riadiaceho orgánu pr</w:t>
      </w:r>
      <w:r>
        <w:rPr>
          <w:sz w:val="16"/>
          <w:szCs w:val="16"/>
        </w:rPr>
        <w:t>e Program Slovensko 2021 – 2027.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326"/>
    <w:multiLevelType w:val="hybridMultilevel"/>
    <w:tmpl w:val="8BA495D4"/>
    <w:lvl w:ilvl="0" w:tplc="4A2E4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F72D2"/>
    <w:multiLevelType w:val="hybridMultilevel"/>
    <w:tmpl w:val="05C23F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6A7"/>
    <w:multiLevelType w:val="hybridMultilevel"/>
    <w:tmpl w:val="129EA394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E7958"/>
    <w:multiLevelType w:val="multilevel"/>
    <w:tmpl w:val="55CCC78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Times New Roman" w:cs="Times New Roman" w:hint="default"/>
        <w:color w:val="0055A1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eastAsia="Times New Roman" w:cs="Times New Roman" w:hint="default"/>
        <w:color w:val="0055A1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Times New Roman" w:cs="Times New Roman" w:hint="default"/>
        <w:color w:val="0055A1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Times New Roman" w:cs="Times New Roman" w:hint="default"/>
        <w:color w:val="0055A1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Times New Roman" w:cs="Times New Roman" w:hint="default"/>
        <w:color w:val="0055A1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eastAsia="Times New Roman" w:cs="Times New Roman" w:hint="default"/>
        <w:color w:val="0055A1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Times New Roman" w:cs="Times New Roman" w:hint="default"/>
        <w:color w:val="0055A1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eastAsia="Times New Roman" w:cs="Times New Roman" w:hint="default"/>
        <w:color w:val="0055A1"/>
      </w:rPr>
    </w:lvl>
  </w:abstractNum>
  <w:abstractNum w:abstractNumId="4" w15:restartNumberingAfterBreak="0">
    <w:nsid w:val="14F06B11"/>
    <w:multiLevelType w:val="hybridMultilevel"/>
    <w:tmpl w:val="59B61F8C"/>
    <w:lvl w:ilvl="0" w:tplc="851C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A643F"/>
    <w:multiLevelType w:val="hybridMultilevel"/>
    <w:tmpl w:val="020A899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14FBE"/>
    <w:multiLevelType w:val="hybridMultilevel"/>
    <w:tmpl w:val="CE4859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17614"/>
    <w:multiLevelType w:val="multilevel"/>
    <w:tmpl w:val="55CCC78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Times New Roman" w:cs="Times New Roman" w:hint="default"/>
        <w:color w:val="0055A1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eastAsia="Times New Roman" w:cs="Times New Roman" w:hint="default"/>
        <w:color w:val="0055A1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Times New Roman" w:cs="Times New Roman" w:hint="default"/>
        <w:color w:val="0055A1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Times New Roman" w:cs="Times New Roman" w:hint="default"/>
        <w:color w:val="0055A1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Times New Roman" w:cs="Times New Roman" w:hint="default"/>
        <w:color w:val="0055A1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eastAsia="Times New Roman" w:cs="Times New Roman" w:hint="default"/>
        <w:color w:val="0055A1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Times New Roman" w:cs="Times New Roman" w:hint="default"/>
        <w:color w:val="0055A1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eastAsia="Times New Roman" w:cs="Times New Roman" w:hint="default"/>
        <w:color w:val="0055A1"/>
      </w:rPr>
    </w:lvl>
  </w:abstractNum>
  <w:abstractNum w:abstractNumId="8" w15:restartNumberingAfterBreak="0">
    <w:nsid w:val="18260EE6"/>
    <w:multiLevelType w:val="hybridMultilevel"/>
    <w:tmpl w:val="8C68D79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76C4A"/>
    <w:multiLevelType w:val="multilevel"/>
    <w:tmpl w:val="4D52C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E50A69"/>
    <w:multiLevelType w:val="hybridMultilevel"/>
    <w:tmpl w:val="C06A4A34"/>
    <w:lvl w:ilvl="0" w:tplc="452CF69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A0B26"/>
    <w:multiLevelType w:val="multilevel"/>
    <w:tmpl w:val="55CCC78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Times New Roman" w:cs="Times New Roman" w:hint="default"/>
        <w:color w:val="0055A1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eastAsia="Times New Roman" w:cs="Times New Roman" w:hint="default"/>
        <w:color w:val="0055A1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Times New Roman" w:cs="Times New Roman" w:hint="default"/>
        <w:color w:val="0055A1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Times New Roman" w:cs="Times New Roman" w:hint="default"/>
        <w:color w:val="0055A1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Times New Roman" w:cs="Times New Roman" w:hint="default"/>
        <w:color w:val="0055A1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eastAsia="Times New Roman" w:cs="Times New Roman" w:hint="default"/>
        <w:color w:val="0055A1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Times New Roman" w:cs="Times New Roman" w:hint="default"/>
        <w:color w:val="0055A1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eastAsia="Times New Roman" w:cs="Times New Roman" w:hint="default"/>
        <w:color w:val="0055A1"/>
      </w:rPr>
    </w:lvl>
  </w:abstractNum>
  <w:abstractNum w:abstractNumId="12" w15:restartNumberingAfterBreak="0">
    <w:nsid w:val="252378DD"/>
    <w:multiLevelType w:val="hybridMultilevel"/>
    <w:tmpl w:val="F4E6B4CC"/>
    <w:lvl w:ilvl="0" w:tplc="2C3C3EDE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263F4"/>
    <w:multiLevelType w:val="multilevel"/>
    <w:tmpl w:val="B06CB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DB79B3"/>
    <w:multiLevelType w:val="hybridMultilevel"/>
    <w:tmpl w:val="31A88108"/>
    <w:lvl w:ilvl="0" w:tplc="041B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2C074B2B"/>
    <w:multiLevelType w:val="hybridMultilevel"/>
    <w:tmpl w:val="AFC81948"/>
    <w:lvl w:ilvl="0" w:tplc="557AB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E2A15"/>
    <w:multiLevelType w:val="hybridMultilevel"/>
    <w:tmpl w:val="43601F2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4588D"/>
    <w:multiLevelType w:val="hybridMultilevel"/>
    <w:tmpl w:val="DD0812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D4376"/>
    <w:multiLevelType w:val="hybridMultilevel"/>
    <w:tmpl w:val="8B98BBD6"/>
    <w:lvl w:ilvl="0" w:tplc="2C02B2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C51CA"/>
    <w:multiLevelType w:val="hybridMultilevel"/>
    <w:tmpl w:val="0846E44A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045124"/>
    <w:multiLevelType w:val="hybridMultilevel"/>
    <w:tmpl w:val="75E8C2E6"/>
    <w:lvl w:ilvl="0" w:tplc="87A06D6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A98AAD5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402F3"/>
    <w:multiLevelType w:val="hybridMultilevel"/>
    <w:tmpl w:val="88D26452"/>
    <w:lvl w:ilvl="0" w:tplc="2C02B2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224FA4"/>
    <w:multiLevelType w:val="hybridMultilevel"/>
    <w:tmpl w:val="EE56F98C"/>
    <w:lvl w:ilvl="0" w:tplc="F2D6C55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7613FA3"/>
    <w:multiLevelType w:val="hybridMultilevel"/>
    <w:tmpl w:val="33E8B4C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96416"/>
    <w:multiLevelType w:val="hybridMultilevel"/>
    <w:tmpl w:val="6FF801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0276A"/>
    <w:multiLevelType w:val="hybridMultilevel"/>
    <w:tmpl w:val="AAD064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81275"/>
    <w:multiLevelType w:val="hybridMultilevel"/>
    <w:tmpl w:val="90EC5BE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055EC5"/>
    <w:multiLevelType w:val="hybridMultilevel"/>
    <w:tmpl w:val="08CA9C3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D653E"/>
    <w:multiLevelType w:val="multilevel"/>
    <w:tmpl w:val="12489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A653C02"/>
    <w:multiLevelType w:val="hybridMultilevel"/>
    <w:tmpl w:val="E75A00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649B2"/>
    <w:multiLevelType w:val="hybridMultilevel"/>
    <w:tmpl w:val="DD0812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02D1B"/>
    <w:multiLevelType w:val="hybridMultilevel"/>
    <w:tmpl w:val="5EA0733A"/>
    <w:lvl w:ilvl="0" w:tplc="DF8824FE">
      <w:numFmt w:val="bullet"/>
      <w:lvlText w:val="•"/>
      <w:lvlJc w:val="left"/>
      <w:pPr>
        <w:ind w:left="1080" w:hanging="72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A4341"/>
    <w:multiLevelType w:val="hybridMultilevel"/>
    <w:tmpl w:val="B8123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1558F"/>
    <w:multiLevelType w:val="hybridMultilevel"/>
    <w:tmpl w:val="49083A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04E0A"/>
    <w:multiLevelType w:val="hybridMultilevel"/>
    <w:tmpl w:val="0D3C2648"/>
    <w:lvl w:ilvl="0" w:tplc="98C09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D2B15"/>
    <w:multiLevelType w:val="hybridMultilevel"/>
    <w:tmpl w:val="8070ED52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D11443"/>
    <w:multiLevelType w:val="hybridMultilevel"/>
    <w:tmpl w:val="0FE2B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D43B72"/>
    <w:multiLevelType w:val="hybridMultilevel"/>
    <w:tmpl w:val="94282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E2CD0"/>
    <w:multiLevelType w:val="hybridMultilevel"/>
    <w:tmpl w:val="15CEC96A"/>
    <w:lvl w:ilvl="0" w:tplc="8F4C01A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C44791"/>
    <w:multiLevelType w:val="hybridMultilevel"/>
    <w:tmpl w:val="B06805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E13F60"/>
    <w:multiLevelType w:val="hybridMultilevel"/>
    <w:tmpl w:val="1B1C4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3C6769"/>
    <w:multiLevelType w:val="multilevel"/>
    <w:tmpl w:val="55CCC78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Times New Roman" w:cs="Times New Roman" w:hint="default"/>
        <w:color w:val="0055A1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eastAsia="Times New Roman" w:cs="Times New Roman" w:hint="default"/>
        <w:color w:val="0055A1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Times New Roman" w:cs="Times New Roman" w:hint="default"/>
        <w:color w:val="0055A1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Times New Roman" w:cs="Times New Roman" w:hint="default"/>
        <w:color w:val="0055A1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Times New Roman" w:cs="Times New Roman" w:hint="default"/>
        <w:color w:val="0055A1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eastAsia="Times New Roman" w:cs="Times New Roman" w:hint="default"/>
        <w:color w:val="0055A1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Times New Roman" w:cs="Times New Roman" w:hint="default"/>
        <w:color w:val="0055A1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eastAsia="Times New Roman" w:cs="Times New Roman" w:hint="default"/>
        <w:color w:val="0055A1"/>
      </w:rPr>
    </w:lvl>
  </w:abstractNum>
  <w:abstractNum w:abstractNumId="42" w15:restartNumberingAfterBreak="0">
    <w:nsid w:val="65291983"/>
    <w:multiLevelType w:val="hybridMultilevel"/>
    <w:tmpl w:val="E580E522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6052A9E"/>
    <w:multiLevelType w:val="hybridMultilevel"/>
    <w:tmpl w:val="5C441CD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CC438F"/>
    <w:multiLevelType w:val="hybridMultilevel"/>
    <w:tmpl w:val="810626FE"/>
    <w:lvl w:ilvl="0" w:tplc="BE14A4E4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68C04AC4"/>
    <w:multiLevelType w:val="hybridMultilevel"/>
    <w:tmpl w:val="746E0CE4"/>
    <w:lvl w:ilvl="0" w:tplc="EC9A8C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7243B4"/>
    <w:multiLevelType w:val="hybridMultilevel"/>
    <w:tmpl w:val="1F880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CC76C9"/>
    <w:multiLevelType w:val="multilevel"/>
    <w:tmpl w:val="55CCC78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Times New Roman" w:cs="Times New Roman" w:hint="default"/>
        <w:color w:val="0055A1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eastAsia="Times New Roman" w:cs="Times New Roman" w:hint="default"/>
        <w:color w:val="0055A1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Times New Roman" w:cs="Times New Roman" w:hint="default"/>
        <w:color w:val="0055A1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Times New Roman" w:cs="Times New Roman" w:hint="default"/>
        <w:color w:val="0055A1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Times New Roman" w:cs="Times New Roman" w:hint="default"/>
        <w:color w:val="0055A1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eastAsia="Times New Roman" w:cs="Times New Roman" w:hint="default"/>
        <w:color w:val="0055A1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Times New Roman" w:cs="Times New Roman" w:hint="default"/>
        <w:color w:val="0055A1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eastAsia="Times New Roman" w:cs="Times New Roman" w:hint="default"/>
        <w:color w:val="0055A1"/>
      </w:rPr>
    </w:lvl>
  </w:abstractNum>
  <w:abstractNum w:abstractNumId="48" w15:restartNumberingAfterBreak="0">
    <w:nsid w:val="72FF0166"/>
    <w:multiLevelType w:val="hybridMultilevel"/>
    <w:tmpl w:val="84EAA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645648"/>
    <w:multiLevelType w:val="multilevel"/>
    <w:tmpl w:val="55CCC78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Times New Roman" w:cs="Times New Roman" w:hint="default"/>
        <w:color w:val="0055A1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eastAsia="Times New Roman" w:cs="Times New Roman" w:hint="default"/>
        <w:color w:val="0055A1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Times New Roman" w:cs="Times New Roman" w:hint="default"/>
        <w:color w:val="0055A1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Times New Roman" w:cs="Times New Roman" w:hint="default"/>
        <w:color w:val="0055A1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Times New Roman" w:cs="Times New Roman" w:hint="default"/>
        <w:color w:val="0055A1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eastAsia="Times New Roman" w:cs="Times New Roman" w:hint="default"/>
        <w:color w:val="0055A1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Times New Roman" w:cs="Times New Roman" w:hint="default"/>
        <w:color w:val="0055A1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eastAsia="Times New Roman" w:cs="Times New Roman" w:hint="default"/>
        <w:color w:val="0055A1"/>
      </w:rPr>
    </w:lvl>
  </w:abstractNum>
  <w:abstractNum w:abstractNumId="50" w15:restartNumberingAfterBreak="0">
    <w:nsid w:val="76CA78A5"/>
    <w:multiLevelType w:val="hybridMultilevel"/>
    <w:tmpl w:val="E5C68AA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7FF44FA"/>
    <w:multiLevelType w:val="hybridMultilevel"/>
    <w:tmpl w:val="CA443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2C5DB1"/>
    <w:multiLevelType w:val="hybridMultilevel"/>
    <w:tmpl w:val="0F40723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CD11B4"/>
    <w:multiLevelType w:val="hybridMultilevel"/>
    <w:tmpl w:val="CEF4F1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0B41E3"/>
    <w:multiLevelType w:val="hybridMultilevel"/>
    <w:tmpl w:val="AE04797E"/>
    <w:lvl w:ilvl="0" w:tplc="041B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5" w15:restartNumberingAfterBreak="0">
    <w:nsid w:val="7D33723D"/>
    <w:multiLevelType w:val="multilevel"/>
    <w:tmpl w:val="A63E2F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EA557A4"/>
    <w:multiLevelType w:val="hybridMultilevel"/>
    <w:tmpl w:val="EA42A09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D633FD"/>
    <w:multiLevelType w:val="hybridMultilevel"/>
    <w:tmpl w:val="7076CF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8"/>
  </w:num>
  <w:num w:numId="4">
    <w:abstractNumId w:val="31"/>
  </w:num>
  <w:num w:numId="5">
    <w:abstractNumId w:val="9"/>
  </w:num>
  <w:num w:numId="6">
    <w:abstractNumId w:val="57"/>
  </w:num>
  <w:num w:numId="7">
    <w:abstractNumId w:val="20"/>
  </w:num>
  <w:num w:numId="8">
    <w:abstractNumId w:val="51"/>
  </w:num>
  <w:num w:numId="9">
    <w:abstractNumId w:val="6"/>
  </w:num>
  <w:num w:numId="10">
    <w:abstractNumId w:val="43"/>
  </w:num>
  <w:num w:numId="11">
    <w:abstractNumId w:val="52"/>
  </w:num>
  <w:num w:numId="12">
    <w:abstractNumId w:val="4"/>
  </w:num>
  <w:num w:numId="13">
    <w:abstractNumId w:val="34"/>
  </w:num>
  <w:num w:numId="14">
    <w:abstractNumId w:val="39"/>
  </w:num>
  <w:num w:numId="15">
    <w:abstractNumId w:val="2"/>
  </w:num>
  <w:num w:numId="16">
    <w:abstractNumId w:val="5"/>
  </w:num>
  <w:num w:numId="17">
    <w:abstractNumId w:val="13"/>
  </w:num>
  <w:num w:numId="18">
    <w:abstractNumId w:val="23"/>
  </w:num>
  <w:num w:numId="19">
    <w:abstractNumId w:val="26"/>
  </w:num>
  <w:num w:numId="20">
    <w:abstractNumId w:val="38"/>
  </w:num>
  <w:num w:numId="21">
    <w:abstractNumId w:val="12"/>
  </w:num>
  <w:num w:numId="22">
    <w:abstractNumId w:val="42"/>
  </w:num>
  <w:num w:numId="23">
    <w:abstractNumId w:val="15"/>
  </w:num>
  <w:num w:numId="24">
    <w:abstractNumId w:val="30"/>
  </w:num>
  <w:num w:numId="25">
    <w:abstractNumId w:val="33"/>
  </w:num>
  <w:num w:numId="26">
    <w:abstractNumId w:val="17"/>
  </w:num>
  <w:num w:numId="27">
    <w:abstractNumId w:val="45"/>
  </w:num>
  <w:num w:numId="28">
    <w:abstractNumId w:val="29"/>
  </w:num>
  <w:num w:numId="29">
    <w:abstractNumId w:val="35"/>
  </w:num>
  <w:num w:numId="30">
    <w:abstractNumId w:val="14"/>
  </w:num>
  <w:num w:numId="31">
    <w:abstractNumId w:val="50"/>
  </w:num>
  <w:num w:numId="32">
    <w:abstractNumId w:val="19"/>
  </w:num>
  <w:num w:numId="33">
    <w:abstractNumId w:val="16"/>
  </w:num>
  <w:num w:numId="34">
    <w:abstractNumId w:val="54"/>
  </w:num>
  <w:num w:numId="35">
    <w:abstractNumId w:val="27"/>
  </w:num>
  <w:num w:numId="36">
    <w:abstractNumId w:val="47"/>
  </w:num>
  <w:num w:numId="37">
    <w:abstractNumId w:val="7"/>
  </w:num>
  <w:num w:numId="38">
    <w:abstractNumId w:val="56"/>
  </w:num>
  <w:num w:numId="39">
    <w:abstractNumId w:val="3"/>
  </w:num>
  <w:num w:numId="40">
    <w:abstractNumId w:val="49"/>
  </w:num>
  <w:num w:numId="41">
    <w:abstractNumId w:val="18"/>
  </w:num>
  <w:num w:numId="42">
    <w:abstractNumId w:val="21"/>
  </w:num>
  <w:num w:numId="43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48"/>
  </w:num>
  <w:num w:numId="46">
    <w:abstractNumId w:val="37"/>
  </w:num>
  <w:num w:numId="47">
    <w:abstractNumId w:val="53"/>
  </w:num>
  <w:num w:numId="48">
    <w:abstractNumId w:val="32"/>
  </w:num>
  <w:num w:numId="49">
    <w:abstractNumId w:val="40"/>
  </w:num>
  <w:num w:numId="50">
    <w:abstractNumId w:val="46"/>
  </w:num>
  <w:num w:numId="51">
    <w:abstractNumId w:val="24"/>
  </w:num>
  <w:num w:numId="52">
    <w:abstractNumId w:val="36"/>
  </w:num>
  <w:num w:numId="53">
    <w:abstractNumId w:val="0"/>
  </w:num>
  <w:num w:numId="54">
    <w:abstractNumId w:val="22"/>
  </w:num>
  <w:num w:numId="55">
    <w:abstractNumId w:val="41"/>
  </w:num>
  <w:num w:numId="56">
    <w:abstractNumId w:val="44"/>
  </w:num>
  <w:num w:numId="57">
    <w:abstractNumId w:val="10"/>
  </w:num>
  <w:num w:numId="58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EA"/>
    <w:rsid w:val="00002462"/>
    <w:rsid w:val="00002F90"/>
    <w:rsid w:val="00007535"/>
    <w:rsid w:val="00010140"/>
    <w:rsid w:val="00013712"/>
    <w:rsid w:val="00014201"/>
    <w:rsid w:val="00014A64"/>
    <w:rsid w:val="00014C85"/>
    <w:rsid w:val="00017A0E"/>
    <w:rsid w:val="00021429"/>
    <w:rsid w:val="00023476"/>
    <w:rsid w:val="000250F4"/>
    <w:rsid w:val="0002569F"/>
    <w:rsid w:val="00025874"/>
    <w:rsid w:val="000260A9"/>
    <w:rsid w:val="00030706"/>
    <w:rsid w:val="00030D21"/>
    <w:rsid w:val="0003272F"/>
    <w:rsid w:val="00033EE5"/>
    <w:rsid w:val="000340FD"/>
    <w:rsid w:val="00034987"/>
    <w:rsid w:val="00035589"/>
    <w:rsid w:val="0003645B"/>
    <w:rsid w:val="00036CE1"/>
    <w:rsid w:val="00042C73"/>
    <w:rsid w:val="000442EB"/>
    <w:rsid w:val="00045EEF"/>
    <w:rsid w:val="000470F3"/>
    <w:rsid w:val="00050ABF"/>
    <w:rsid w:val="0005191F"/>
    <w:rsid w:val="000549E7"/>
    <w:rsid w:val="00055119"/>
    <w:rsid w:val="00055E3C"/>
    <w:rsid w:val="0005631C"/>
    <w:rsid w:val="000565AE"/>
    <w:rsid w:val="0005665D"/>
    <w:rsid w:val="00060D21"/>
    <w:rsid w:val="000617C5"/>
    <w:rsid w:val="000628DF"/>
    <w:rsid w:val="00062D52"/>
    <w:rsid w:val="00064DDB"/>
    <w:rsid w:val="00067C55"/>
    <w:rsid w:val="0007173B"/>
    <w:rsid w:val="00071A80"/>
    <w:rsid w:val="00072EA1"/>
    <w:rsid w:val="000765B4"/>
    <w:rsid w:val="00076A8C"/>
    <w:rsid w:val="00080430"/>
    <w:rsid w:val="00082D20"/>
    <w:rsid w:val="000836E3"/>
    <w:rsid w:val="00083F72"/>
    <w:rsid w:val="00090B9E"/>
    <w:rsid w:val="00096008"/>
    <w:rsid w:val="000961F1"/>
    <w:rsid w:val="00096627"/>
    <w:rsid w:val="000976C9"/>
    <w:rsid w:val="000A2B7A"/>
    <w:rsid w:val="000A6788"/>
    <w:rsid w:val="000A6AE5"/>
    <w:rsid w:val="000B108E"/>
    <w:rsid w:val="000B5B71"/>
    <w:rsid w:val="000B5C83"/>
    <w:rsid w:val="000B5E2E"/>
    <w:rsid w:val="000B6CE9"/>
    <w:rsid w:val="000B7552"/>
    <w:rsid w:val="000B7D9D"/>
    <w:rsid w:val="000C1E8C"/>
    <w:rsid w:val="000C7A7A"/>
    <w:rsid w:val="000C7D59"/>
    <w:rsid w:val="000D17C9"/>
    <w:rsid w:val="000D256D"/>
    <w:rsid w:val="000D2AB9"/>
    <w:rsid w:val="000D3D70"/>
    <w:rsid w:val="000D49A1"/>
    <w:rsid w:val="000D6F2C"/>
    <w:rsid w:val="000D7766"/>
    <w:rsid w:val="000E0A68"/>
    <w:rsid w:val="000E12EC"/>
    <w:rsid w:val="000E1368"/>
    <w:rsid w:val="000E1BF1"/>
    <w:rsid w:val="000E44CF"/>
    <w:rsid w:val="000E6F1E"/>
    <w:rsid w:val="000F2180"/>
    <w:rsid w:val="000F2FA4"/>
    <w:rsid w:val="000F6780"/>
    <w:rsid w:val="000F706B"/>
    <w:rsid w:val="000F7BEF"/>
    <w:rsid w:val="00100D32"/>
    <w:rsid w:val="0010111E"/>
    <w:rsid w:val="001030AB"/>
    <w:rsid w:val="00103865"/>
    <w:rsid w:val="00104CF4"/>
    <w:rsid w:val="00105581"/>
    <w:rsid w:val="00105C85"/>
    <w:rsid w:val="0010642D"/>
    <w:rsid w:val="00107135"/>
    <w:rsid w:val="001114F6"/>
    <w:rsid w:val="00114734"/>
    <w:rsid w:val="001161B8"/>
    <w:rsid w:val="00117156"/>
    <w:rsid w:val="001175B4"/>
    <w:rsid w:val="00117C29"/>
    <w:rsid w:val="00117CCF"/>
    <w:rsid w:val="00121041"/>
    <w:rsid w:val="0012107A"/>
    <w:rsid w:val="001215CF"/>
    <w:rsid w:val="00122F5A"/>
    <w:rsid w:val="00123CB3"/>
    <w:rsid w:val="00125FEF"/>
    <w:rsid w:val="00126F10"/>
    <w:rsid w:val="00127628"/>
    <w:rsid w:val="00131DEE"/>
    <w:rsid w:val="001326B7"/>
    <w:rsid w:val="0013527E"/>
    <w:rsid w:val="00136777"/>
    <w:rsid w:val="0013700E"/>
    <w:rsid w:val="00140801"/>
    <w:rsid w:val="001422F5"/>
    <w:rsid w:val="00146332"/>
    <w:rsid w:val="00147346"/>
    <w:rsid w:val="00152244"/>
    <w:rsid w:val="0015281B"/>
    <w:rsid w:val="001537BB"/>
    <w:rsid w:val="001543E7"/>
    <w:rsid w:val="0015468C"/>
    <w:rsid w:val="00155D71"/>
    <w:rsid w:val="00156869"/>
    <w:rsid w:val="0016135B"/>
    <w:rsid w:val="00161EB1"/>
    <w:rsid w:val="00162ADB"/>
    <w:rsid w:val="0016345E"/>
    <w:rsid w:val="00164D2F"/>
    <w:rsid w:val="0016578B"/>
    <w:rsid w:val="00167B6E"/>
    <w:rsid w:val="0017065E"/>
    <w:rsid w:val="00171085"/>
    <w:rsid w:val="001736D4"/>
    <w:rsid w:val="00173DB2"/>
    <w:rsid w:val="00173E48"/>
    <w:rsid w:val="001745EB"/>
    <w:rsid w:val="001767F7"/>
    <w:rsid w:val="00177F10"/>
    <w:rsid w:val="00180359"/>
    <w:rsid w:val="00181F23"/>
    <w:rsid w:val="001823F1"/>
    <w:rsid w:val="00182DC8"/>
    <w:rsid w:val="00185E09"/>
    <w:rsid w:val="00186878"/>
    <w:rsid w:val="00186AB1"/>
    <w:rsid w:val="0018796C"/>
    <w:rsid w:val="00190869"/>
    <w:rsid w:val="00190F2E"/>
    <w:rsid w:val="00193D1A"/>
    <w:rsid w:val="00193DD6"/>
    <w:rsid w:val="00197347"/>
    <w:rsid w:val="001A0F5B"/>
    <w:rsid w:val="001A1DCF"/>
    <w:rsid w:val="001A32B1"/>
    <w:rsid w:val="001A7291"/>
    <w:rsid w:val="001A7BD4"/>
    <w:rsid w:val="001B0063"/>
    <w:rsid w:val="001B313F"/>
    <w:rsid w:val="001B4C6D"/>
    <w:rsid w:val="001B537C"/>
    <w:rsid w:val="001B5820"/>
    <w:rsid w:val="001B74B2"/>
    <w:rsid w:val="001C2A46"/>
    <w:rsid w:val="001C2CEB"/>
    <w:rsid w:val="001C2E8E"/>
    <w:rsid w:val="001C64AE"/>
    <w:rsid w:val="001D0849"/>
    <w:rsid w:val="001D10DF"/>
    <w:rsid w:val="001D2753"/>
    <w:rsid w:val="001D2D89"/>
    <w:rsid w:val="001D2F0F"/>
    <w:rsid w:val="001D3A53"/>
    <w:rsid w:val="001D3F46"/>
    <w:rsid w:val="001D6084"/>
    <w:rsid w:val="001D7BD5"/>
    <w:rsid w:val="001E16B7"/>
    <w:rsid w:val="001E2197"/>
    <w:rsid w:val="001E3850"/>
    <w:rsid w:val="001E3D94"/>
    <w:rsid w:val="001E3E64"/>
    <w:rsid w:val="001E3F33"/>
    <w:rsid w:val="001E44DB"/>
    <w:rsid w:val="001E5947"/>
    <w:rsid w:val="001E5BA2"/>
    <w:rsid w:val="001E67D7"/>
    <w:rsid w:val="001E751E"/>
    <w:rsid w:val="001F0D65"/>
    <w:rsid w:val="001F1750"/>
    <w:rsid w:val="001F2472"/>
    <w:rsid w:val="00201C20"/>
    <w:rsid w:val="00202638"/>
    <w:rsid w:val="00204302"/>
    <w:rsid w:val="002045CD"/>
    <w:rsid w:val="00204693"/>
    <w:rsid w:val="002046E6"/>
    <w:rsid w:val="0020537A"/>
    <w:rsid w:val="00207189"/>
    <w:rsid w:val="002121B7"/>
    <w:rsid w:val="00214629"/>
    <w:rsid w:val="00214D80"/>
    <w:rsid w:val="00215832"/>
    <w:rsid w:val="00216400"/>
    <w:rsid w:val="00220C61"/>
    <w:rsid w:val="0022148A"/>
    <w:rsid w:val="00222272"/>
    <w:rsid w:val="00223AC8"/>
    <w:rsid w:val="00225112"/>
    <w:rsid w:val="00226455"/>
    <w:rsid w:val="00232FB2"/>
    <w:rsid w:val="00233816"/>
    <w:rsid w:val="0023687A"/>
    <w:rsid w:val="00240879"/>
    <w:rsid w:val="00240D8F"/>
    <w:rsid w:val="0024173C"/>
    <w:rsid w:val="00243BB8"/>
    <w:rsid w:val="00245CB1"/>
    <w:rsid w:val="00246285"/>
    <w:rsid w:val="00251971"/>
    <w:rsid w:val="002519D9"/>
    <w:rsid w:val="00252067"/>
    <w:rsid w:val="00253BE2"/>
    <w:rsid w:val="00254B34"/>
    <w:rsid w:val="00255807"/>
    <w:rsid w:val="00255B0D"/>
    <w:rsid w:val="00260FAE"/>
    <w:rsid w:val="00262532"/>
    <w:rsid w:val="00263086"/>
    <w:rsid w:val="0026489A"/>
    <w:rsid w:val="00264DAF"/>
    <w:rsid w:val="00265086"/>
    <w:rsid w:val="00265178"/>
    <w:rsid w:val="002653D1"/>
    <w:rsid w:val="0026542B"/>
    <w:rsid w:val="00267309"/>
    <w:rsid w:val="00267588"/>
    <w:rsid w:val="00267FE6"/>
    <w:rsid w:val="0027132A"/>
    <w:rsid w:val="0027306C"/>
    <w:rsid w:val="0027365D"/>
    <w:rsid w:val="00273BC8"/>
    <w:rsid w:val="00275060"/>
    <w:rsid w:val="00277D48"/>
    <w:rsid w:val="00282FB2"/>
    <w:rsid w:val="00283924"/>
    <w:rsid w:val="002841BB"/>
    <w:rsid w:val="0028576D"/>
    <w:rsid w:val="00286CD4"/>
    <w:rsid w:val="00290118"/>
    <w:rsid w:val="002901C8"/>
    <w:rsid w:val="0029112E"/>
    <w:rsid w:val="00291504"/>
    <w:rsid w:val="00293EEF"/>
    <w:rsid w:val="00294985"/>
    <w:rsid w:val="00295A21"/>
    <w:rsid w:val="002A0D2A"/>
    <w:rsid w:val="002A0D66"/>
    <w:rsid w:val="002A1EAD"/>
    <w:rsid w:val="002A22B7"/>
    <w:rsid w:val="002A3872"/>
    <w:rsid w:val="002A6593"/>
    <w:rsid w:val="002B1733"/>
    <w:rsid w:val="002B41C2"/>
    <w:rsid w:val="002B5EA0"/>
    <w:rsid w:val="002B6416"/>
    <w:rsid w:val="002B6D60"/>
    <w:rsid w:val="002C0756"/>
    <w:rsid w:val="002C14E4"/>
    <w:rsid w:val="002C2858"/>
    <w:rsid w:val="002C310E"/>
    <w:rsid w:val="002C4A56"/>
    <w:rsid w:val="002C558F"/>
    <w:rsid w:val="002C5CF5"/>
    <w:rsid w:val="002C61D3"/>
    <w:rsid w:val="002D284E"/>
    <w:rsid w:val="002E083C"/>
    <w:rsid w:val="002E0CE7"/>
    <w:rsid w:val="002E189D"/>
    <w:rsid w:val="002E2410"/>
    <w:rsid w:val="002E2889"/>
    <w:rsid w:val="002E438E"/>
    <w:rsid w:val="002E4E05"/>
    <w:rsid w:val="002F27B9"/>
    <w:rsid w:val="002F4266"/>
    <w:rsid w:val="002F58F5"/>
    <w:rsid w:val="002F786C"/>
    <w:rsid w:val="00300A0F"/>
    <w:rsid w:val="00301810"/>
    <w:rsid w:val="0030344C"/>
    <w:rsid w:val="003035BD"/>
    <w:rsid w:val="00304069"/>
    <w:rsid w:val="00304838"/>
    <w:rsid w:val="00310704"/>
    <w:rsid w:val="00310EB5"/>
    <w:rsid w:val="0031127A"/>
    <w:rsid w:val="00311912"/>
    <w:rsid w:val="003132D9"/>
    <w:rsid w:val="00321A89"/>
    <w:rsid w:val="00321BA8"/>
    <w:rsid w:val="0032256D"/>
    <w:rsid w:val="0032602F"/>
    <w:rsid w:val="0032604A"/>
    <w:rsid w:val="0032748D"/>
    <w:rsid w:val="00327ADA"/>
    <w:rsid w:val="0033079C"/>
    <w:rsid w:val="00331ADF"/>
    <w:rsid w:val="00331BC9"/>
    <w:rsid w:val="00333123"/>
    <w:rsid w:val="003341FB"/>
    <w:rsid w:val="0034034E"/>
    <w:rsid w:val="0034133C"/>
    <w:rsid w:val="00342859"/>
    <w:rsid w:val="0034364B"/>
    <w:rsid w:val="003476E4"/>
    <w:rsid w:val="00347A64"/>
    <w:rsid w:val="00347FA7"/>
    <w:rsid w:val="0036131A"/>
    <w:rsid w:val="00365A11"/>
    <w:rsid w:val="00365CAC"/>
    <w:rsid w:val="00370B92"/>
    <w:rsid w:val="00374388"/>
    <w:rsid w:val="003753A4"/>
    <w:rsid w:val="003830FF"/>
    <w:rsid w:val="00383A45"/>
    <w:rsid w:val="00384400"/>
    <w:rsid w:val="0038719F"/>
    <w:rsid w:val="00390295"/>
    <w:rsid w:val="00391312"/>
    <w:rsid w:val="00392CC4"/>
    <w:rsid w:val="00392CDE"/>
    <w:rsid w:val="00394FD4"/>
    <w:rsid w:val="003961F6"/>
    <w:rsid w:val="00396207"/>
    <w:rsid w:val="00397651"/>
    <w:rsid w:val="00397730"/>
    <w:rsid w:val="00397D02"/>
    <w:rsid w:val="003A1520"/>
    <w:rsid w:val="003A1C00"/>
    <w:rsid w:val="003A1D4F"/>
    <w:rsid w:val="003A2CD3"/>
    <w:rsid w:val="003A520E"/>
    <w:rsid w:val="003A5C00"/>
    <w:rsid w:val="003A7872"/>
    <w:rsid w:val="003B0F64"/>
    <w:rsid w:val="003B1186"/>
    <w:rsid w:val="003B2649"/>
    <w:rsid w:val="003B31BE"/>
    <w:rsid w:val="003B3652"/>
    <w:rsid w:val="003B3A64"/>
    <w:rsid w:val="003B46DE"/>
    <w:rsid w:val="003B5CA2"/>
    <w:rsid w:val="003B6BC3"/>
    <w:rsid w:val="003B6CAA"/>
    <w:rsid w:val="003C03BE"/>
    <w:rsid w:val="003C06C0"/>
    <w:rsid w:val="003C3B1D"/>
    <w:rsid w:val="003C4076"/>
    <w:rsid w:val="003C4F4D"/>
    <w:rsid w:val="003C65C6"/>
    <w:rsid w:val="003D2A59"/>
    <w:rsid w:val="003D2EFB"/>
    <w:rsid w:val="003D5D66"/>
    <w:rsid w:val="003D6F37"/>
    <w:rsid w:val="003E0E83"/>
    <w:rsid w:val="003E2208"/>
    <w:rsid w:val="003E35E1"/>
    <w:rsid w:val="003E4614"/>
    <w:rsid w:val="003E5F39"/>
    <w:rsid w:val="003E6A9D"/>
    <w:rsid w:val="003E758F"/>
    <w:rsid w:val="003F0239"/>
    <w:rsid w:val="003F09DE"/>
    <w:rsid w:val="003F14E4"/>
    <w:rsid w:val="003F1EA0"/>
    <w:rsid w:val="003F1EBA"/>
    <w:rsid w:val="003F2413"/>
    <w:rsid w:val="003F2841"/>
    <w:rsid w:val="003F2F81"/>
    <w:rsid w:val="003F4FD5"/>
    <w:rsid w:val="003F6E0F"/>
    <w:rsid w:val="003F71C0"/>
    <w:rsid w:val="003F7CD0"/>
    <w:rsid w:val="00400D2F"/>
    <w:rsid w:val="00400E82"/>
    <w:rsid w:val="00404497"/>
    <w:rsid w:val="00405A77"/>
    <w:rsid w:val="0040600B"/>
    <w:rsid w:val="00406BDE"/>
    <w:rsid w:val="00406C13"/>
    <w:rsid w:val="004078B1"/>
    <w:rsid w:val="00407ABE"/>
    <w:rsid w:val="00411344"/>
    <w:rsid w:val="0041135C"/>
    <w:rsid w:val="0041317E"/>
    <w:rsid w:val="00416DA3"/>
    <w:rsid w:val="0041713E"/>
    <w:rsid w:val="00422534"/>
    <w:rsid w:val="00422661"/>
    <w:rsid w:val="00427581"/>
    <w:rsid w:val="00427867"/>
    <w:rsid w:val="004315EB"/>
    <w:rsid w:val="00432625"/>
    <w:rsid w:val="00432D15"/>
    <w:rsid w:val="004330F2"/>
    <w:rsid w:val="004342BB"/>
    <w:rsid w:val="00435E70"/>
    <w:rsid w:val="0043634C"/>
    <w:rsid w:val="00437EFC"/>
    <w:rsid w:val="004407A9"/>
    <w:rsid w:val="00443678"/>
    <w:rsid w:val="004440BD"/>
    <w:rsid w:val="004449A1"/>
    <w:rsid w:val="004463D7"/>
    <w:rsid w:val="00446F61"/>
    <w:rsid w:val="004472CA"/>
    <w:rsid w:val="004500A6"/>
    <w:rsid w:val="00451E53"/>
    <w:rsid w:val="00460BCA"/>
    <w:rsid w:val="00460D2F"/>
    <w:rsid w:val="00461BC3"/>
    <w:rsid w:val="00474763"/>
    <w:rsid w:val="00474931"/>
    <w:rsid w:val="00475649"/>
    <w:rsid w:val="0048080F"/>
    <w:rsid w:val="00481B44"/>
    <w:rsid w:val="00482680"/>
    <w:rsid w:val="00483480"/>
    <w:rsid w:val="00483691"/>
    <w:rsid w:val="00484439"/>
    <w:rsid w:val="00484F6B"/>
    <w:rsid w:val="0048538E"/>
    <w:rsid w:val="00487D30"/>
    <w:rsid w:val="00490FAF"/>
    <w:rsid w:val="004923B1"/>
    <w:rsid w:val="00492D2E"/>
    <w:rsid w:val="00492F86"/>
    <w:rsid w:val="00494FBA"/>
    <w:rsid w:val="00495E13"/>
    <w:rsid w:val="0049640B"/>
    <w:rsid w:val="00497232"/>
    <w:rsid w:val="0049797C"/>
    <w:rsid w:val="004A0A2E"/>
    <w:rsid w:val="004A19B2"/>
    <w:rsid w:val="004A1C7A"/>
    <w:rsid w:val="004A2C7F"/>
    <w:rsid w:val="004A318F"/>
    <w:rsid w:val="004A3A06"/>
    <w:rsid w:val="004A4419"/>
    <w:rsid w:val="004A665D"/>
    <w:rsid w:val="004A6A4E"/>
    <w:rsid w:val="004A6E76"/>
    <w:rsid w:val="004B167B"/>
    <w:rsid w:val="004B355A"/>
    <w:rsid w:val="004B4D9C"/>
    <w:rsid w:val="004C020C"/>
    <w:rsid w:val="004C2AB4"/>
    <w:rsid w:val="004C2CC8"/>
    <w:rsid w:val="004C340B"/>
    <w:rsid w:val="004C34FB"/>
    <w:rsid w:val="004C3E1C"/>
    <w:rsid w:val="004C4D1E"/>
    <w:rsid w:val="004C545E"/>
    <w:rsid w:val="004D28EC"/>
    <w:rsid w:val="004D296D"/>
    <w:rsid w:val="004D3D1C"/>
    <w:rsid w:val="004D408B"/>
    <w:rsid w:val="004D58B0"/>
    <w:rsid w:val="004E0B61"/>
    <w:rsid w:val="004E1FEE"/>
    <w:rsid w:val="004E460E"/>
    <w:rsid w:val="004E56D3"/>
    <w:rsid w:val="004E6F5C"/>
    <w:rsid w:val="004E72EB"/>
    <w:rsid w:val="004F08ED"/>
    <w:rsid w:val="004F4A14"/>
    <w:rsid w:val="004F57A0"/>
    <w:rsid w:val="004F7631"/>
    <w:rsid w:val="00503367"/>
    <w:rsid w:val="0050472D"/>
    <w:rsid w:val="0051184D"/>
    <w:rsid w:val="00511A38"/>
    <w:rsid w:val="0051534E"/>
    <w:rsid w:val="00517006"/>
    <w:rsid w:val="00517201"/>
    <w:rsid w:val="005212AB"/>
    <w:rsid w:val="00524D56"/>
    <w:rsid w:val="00527E64"/>
    <w:rsid w:val="005312B9"/>
    <w:rsid w:val="0053194B"/>
    <w:rsid w:val="0053285B"/>
    <w:rsid w:val="00533F76"/>
    <w:rsid w:val="005342D2"/>
    <w:rsid w:val="00535B8E"/>
    <w:rsid w:val="005361A0"/>
    <w:rsid w:val="00540227"/>
    <w:rsid w:val="00540681"/>
    <w:rsid w:val="0054242D"/>
    <w:rsid w:val="00544A84"/>
    <w:rsid w:val="005503C8"/>
    <w:rsid w:val="00552CB7"/>
    <w:rsid w:val="00553E78"/>
    <w:rsid w:val="005555BA"/>
    <w:rsid w:val="00555760"/>
    <w:rsid w:val="00557BBF"/>
    <w:rsid w:val="00557C63"/>
    <w:rsid w:val="005629E9"/>
    <w:rsid w:val="00562E87"/>
    <w:rsid w:val="00566472"/>
    <w:rsid w:val="00567A96"/>
    <w:rsid w:val="005707DD"/>
    <w:rsid w:val="005716ED"/>
    <w:rsid w:val="005726AB"/>
    <w:rsid w:val="00572FB6"/>
    <w:rsid w:val="00574907"/>
    <w:rsid w:val="00575D7A"/>
    <w:rsid w:val="005769D8"/>
    <w:rsid w:val="00582DB3"/>
    <w:rsid w:val="0058303A"/>
    <w:rsid w:val="00583E64"/>
    <w:rsid w:val="00585146"/>
    <w:rsid w:val="0058526D"/>
    <w:rsid w:val="00586130"/>
    <w:rsid w:val="005865A3"/>
    <w:rsid w:val="0058682B"/>
    <w:rsid w:val="0059172E"/>
    <w:rsid w:val="00591FC5"/>
    <w:rsid w:val="00593F26"/>
    <w:rsid w:val="005A296F"/>
    <w:rsid w:val="005A5338"/>
    <w:rsid w:val="005A5FC4"/>
    <w:rsid w:val="005A68DD"/>
    <w:rsid w:val="005A68F2"/>
    <w:rsid w:val="005A72F2"/>
    <w:rsid w:val="005A7B23"/>
    <w:rsid w:val="005B07C3"/>
    <w:rsid w:val="005B35B1"/>
    <w:rsid w:val="005B3EE0"/>
    <w:rsid w:val="005B53E8"/>
    <w:rsid w:val="005B672C"/>
    <w:rsid w:val="005B67A2"/>
    <w:rsid w:val="005B7128"/>
    <w:rsid w:val="005B7D9D"/>
    <w:rsid w:val="005C1B8C"/>
    <w:rsid w:val="005C233D"/>
    <w:rsid w:val="005C30C0"/>
    <w:rsid w:val="005C42DE"/>
    <w:rsid w:val="005C6772"/>
    <w:rsid w:val="005C6DD4"/>
    <w:rsid w:val="005D130D"/>
    <w:rsid w:val="005D34C2"/>
    <w:rsid w:val="005D6FDC"/>
    <w:rsid w:val="005E235E"/>
    <w:rsid w:val="005E46E7"/>
    <w:rsid w:val="005E5612"/>
    <w:rsid w:val="005E5800"/>
    <w:rsid w:val="005E627C"/>
    <w:rsid w:val="005E6D01"/>
    <w:rsid w:val="005E6E89"/>
    <w:rsid w:val="005E76D7"/>
    <w:rsid w:val="005F243A"/>
    <w:rsid w:val="005F5EE1"/>
    <w:rsid w:val="005F6EAF"/>
    <w:rsid w:val="005F725B"/>
    <w:rsid w:val="00602894"/>
    <w:rsid w:val="0061115A"/>
    <w:rsid w:val="00612DB4"/>
    <w:rsid w:val="00620AF9"/>
    <w:rsid w:val="0062282F"/>
    <w:rsid w:val="00623CFB"/>
    <w:rsid w:val="006312F6"/>
    <w:rsid w:val="0063326C"/>
    <w:rsid w:val="00636511"/>
    <w:rsid w:val="00636956"/>
    <w:rsid w:val="0063725F"/>
    <w:rsid w:val="00641984"/>
    <w:rsid w:val="006447CB"/>
    <w:rsid w:val="00644ED4"/>
    <w:rsid w:val="00647352"/>
    <w:rsid w:val="00652470"/>
    <w:rsid w:val="00652976"/>
    <w:rsid w:val="00653E7B"/>
    <w:rsid w:val="006540A7"/>
    <w:rsid w:val="00654EF8"/>
    <w:rsid w:val="0065762F"/>
    <w:rsid w:val="0066304D"/>
    <w:rsid w:val="00663C05"/>
    <w:rsid w:val="00664F67"/>
    <w:rsid w:val="006706B1"/>
    <w:rsid w:val="00672213"/>
    <w:rsid w:val="00672BF1"/>
    <w:rsid w:val="00672E74"/>
    <w:rsid w:val="00676B13"/>
    <w:rsid w:val="006777A5"/>
    <w:rsid w:val="006800EB"/>
    <w:rsid w:val="00680511"/>
    <w:rsid w:val="0068306B"/>
    <w:rsid w:val="00684608"/>
    <w:rsid w:val="00684D64"/>
    <w:rsid w:val="006850D1"/>
    <w:rsid w:val="00685C05"/>
    <w:rsid w:val="00686DAC"/>
    <w:rsid w:val="006874FD"/>
    <w:rsid w:val="00691148"/>
    <w:rsid w:val="00692E38"/>
    <w:rsid w:val="00693E03"/>
    <w:rsid w:val="00695C17"/>
    <w:rsid w:val="006A2BCA"/>
    <w:rsid w:val="006A306A"/>
    <w:rsid w:val="006A36EF"/>
    <w:rsid w:val="006A439B"/>
    <w:rsid w:val="006A4B3A"/>
    <w:rsid w:val="006A4E33"/>
    <w:rsid w:val="006A5C19"/>
    <w:rsid w:val="006B2693"/>
    <w:rsid w:val="006B2F1F"/>
    <w:rsid w:val="006B389E"/>
    <w:rsid w:val="006B4E74"/>
    <w:rsid w:val="006B73FD"/>
    <w:rsid w:val="006C181B"/>
    <w:rsid w:val="006C3AC6"/>
    <w:rsid w:val="006C5378"/>
    <w:rsid w:val="006C5B7F"/>
    <w:rsid w:val="006C755D"/>
    <w:rsid w:val="006C7EBB"/>
    <w:rsid w:val="006D1A51"/>
    <w:rsid w:val="006D26EF"/>
    <w:rsid w:val="006D32BF"/>
    <w:rsid w:val="006D4D91"/>
    <w:rsid w:val="006D5F19"/>
    <w:rsid w:val="006D6228"/>
    <w:rsid w:val="006E0A7F"/>
    <w:rsid w:val="006E3BAD"/>
    <w:rsid w:val="006E588F"/>
    <w:rsid w:val="006E6118"/>
    <w:rsid w:val="006E7E29"/>
    <w:rsid w:val="006F0C9E"/>
    <w:rsid w:val="006F283F"/>
    <w:rsid w:val="006F516E"/>
    <w:rsid w:val="006F6832"/>
    <w:rsid w:val="007005DC"/>
    <w:rsid w:val="007006D6"/>
    <w:rsid w:val="00700D8E"/>
    <w:rsid w:val="0070199A"/>
    <w:rsid w:val="007032A3"/>
    <w:rsid w:val="00703B00"/>
    <w:rsid w:val="00703C67"/>
    <w:rsid w:val="0070427D"/>
    <w:rsid w:val="00706189"/>
    <w:rsid w:val="0070690B"/>
    <w:rsid w:val="00710282"/>
    <w:rsid w:val="007103A7"/>
    <w:rsid w:val="00711061"/>
    <w:rsid w:val="00711C2C"/>
    <w:rsid w:val="0071458E"/>
    <w:rsid w:val="00715564"/>
    <w:rsid w:val="00715FAA"/>
    <w:rsid w:val="00722EF2"/>
    <w:rsid w:val="00724959"/>
    <w:rsid w:val="00724EE3"/>
    <w:rsid w:val="00727D00"/>
    <w:rsid w:val="00730C09"/>
    <w:rsid w:val="0073185F"/>
    <w:rsid w:val="00731D20"/>
    <w:rsid w:val="00732868"/>
    <w:rsid w:val="00732F40"/>
    <w:rsid w:val="007333F4"/>
    <w:rsid w:val="0073344D"/>
    <w:rsid w:val="007342D1"/>
    <w:rsid w:val="007343EC"/>
    <w:rsid w:val="00734CB0"/>
    <w:rsid w:val="00737037"/>
    <w:rsid w:val="0074164C"/>
    <w:rsid w:val="00741D78"/>
    <w:rsid w:val="007420C4"/>
    <w:rsid w:val="0074360F"/>
    <w:rsid w:val="007447AC"/>
    <w:rsid w:val="0074633A"/>
    <w:rsid w:val="00746375"/>
    <w:rsid w:val="007503B4"/>
    <w:rsid w:val="007503E5"/>
    <w:rsid w:val="007508BB"/>
    <w:rsid w:val="00751438"/>
    <w:rsid w:val="007520A0"/>
    <w:rsid w:val="00754CBB"/>
    <w:rsid w:val="007559A8"/>
    <w:rsid w:val="00755A57"/>
    <w:rsid w:val="007561E7"/>
    <w:rsid w:val="00757986"/>
    <w:rsid w:val="00760407"/>
    <w:rsid w:val="00760728"/>
    <w:rsid w:val="00760AF8"/>
    <w:rsid w:val="0076100F"/>
    <w:rsid w:val="00761AD2"/>
    <w:rsid w:val="00762B17"/>
    <w:rsid w:val="00762BB2"/>
    <w:rsid w:val="007632DD"/>
    <w:rsid w:val="00763439"/>
    <w:rsid w:val="00766361"/>
    <w:rsid w:val="00766471"/>
    <w:rsid w:val="00766E5F"/>
    <w:rsid w:val="00774C05"/>
    <w:rsid w:val="007764F0"/>
    <w:rsid w:val="0077686F"/>
    <w:rsid w:val="00776F05"/>
    <w:rsid w:val="00777D2D"/>
    <w:rsid w:val="00780CBD"/>
    <w:rsid w:val="00781CB1"/>
    <w:rsid w:val="00784111"/>
    <w:rsid w:val="00785904"/>
    <w:rsid w:val="007860B0"/>
    <w:rsid w:val="00787BF6"/>
    <w:rsid w:val="00787D18"/>
    <w:rsid w:val="0079169A"/>
    <w:rsid w:val="00792154"/>
    <w:rsid w:val="00792CD0"/>
    <w:rsid w:val="007950ED"/>
    <w:rsid w:val="0079592B"/>
    <w:rsid w:val="007965A6"/>
    <w:rsid w:val="00796609"/>
    <w:rsid w:val="00797183"/>
    <w:rsid w:val="007A133B"/>
    <w:rsid w:val="007A1485"/>
    <w:rsid w:val="007A1A0D"/>
    <w:rsid w:val="007A2D87"/>
    <w:rsid w:val="007A3E17"/>
    <w:rsid w:val="007A43DD"/>
    <w:rsid w:val="007A43DE"/>
    <w:rsid w:val="007A5CDE"/>
    <w:rsid w:val="007A781C"/>
    <w:rsid w:val="007B1276"/>
    <w:rsid w:val="007B29A3"/>
    <w:rsid w:val="007B5605"/>
    <w:rsid w:val="007B6F13"/>
    <w:rsid w:val="007B7763"/>
    <w:rsid w:val="007B7A2F"/>
    <w:rsid w:val="007B7BFD"/>
    <w:rsid w:val="007C1509"/>
    <w:rsid w:val="007C28CD"/>
    <w:rsid w:val="007C2FB7"/>
    <w:rsid w:val="007C3BD3"/>
    <w:rsid w:val="007C49FF"/>
    <w:rsid w:val="007C5B3F"/>
    <w:rsid w:val="007C61C8"/>
    <w:rsid w:val="007D22F9"/>
    <w:rsid w:val="007D328E"/>
    <w:rsid w:val="007D3DCC"/>
    <w:rsid w:val="007D4507"/>
    <w:rsid w:val="007D57A2"/>
    <w:rsid w:val="007E09EE"/>
    <w:rsid w:val="007E176D"/>
    <w:rsid w:val="007E1A47"/>
    <w:rsid w:val="007E2460"/>
    <w:rsid w:val="007E2476"/>
    <w:rsid w:val="007E2C69"/>
    <w:rsid w:val="007E3428"/>
    <w:rsid w:val="007E39C0"/>
    <w:rsid w:val="007E3CA6"/>
    <w:rsid w:val="007E4474"/>
    <w:rsid w:val="007E5339"/>
    <w:rsid w:val="007E56B9"/>
    <w:rsid w:val="007E6C98"/>
    <w:rsid w:val="007E7600"/>
    <w:rsid w:val="007F2225"/>
    <w:rsid w:val="007F432C"/>
    <w:rsid w:val="00801379"/>
    <w:rsid w:val="00801B92"/>
    <w:rsid w:val="00802436"/>
    <w:rsid w:val="00802B30"/>
    <w:rsid w:val="00803446"/>
    <w:rsid w:val="00804A59"/>
    <w:rsid w:val="00805661"/>
    <w:rsid w:val="00805D8D"/>
    <w:rsid w:val="0080626F"/>
    <w:rsid w:val="008102E2"/>
    <w:rsid w:val="00810732"/>
    <w:rsid w:val="00811543"/>
    <w:rsid w:val="00811E66"/>
    <w:rsid w:val="008122EE"/>
    <w:rsid w:val="00812314"/>
    <w:rsid w:val="0081323B"/>
    <w:rsid w:val="00813E0C"/>
    <w:rsid w:val="00814CF4"/>
    <w:rsid w:val="00816E54"/>
    <w:rsid w:val="00817D21"/>
    <w:rsid w:val="00820A33"/>
    <w:rsid w:val="0082216A"/>
    <w:rsid w:val="00822A1D"/>
    <w:rsid w:val="00824232"/>
    <w:rsid w:val="0082654D"/>
    <w:rsid w:val="008275CE"/>
    <w:rsid w:val="00827EFA"/>
    <w:rsid w:val="008368F4"/>
    <w:rsid w:val="0083756F"/>
    <w:rsid w:val="008443C0"/>
    <w:rsid w:val="008472BE"/>
    <w:rsid w:val="00847E80"/>
    <w:rsid w:val="00850297"/>
    <w:rsid w:val="0085088D"/>
    <w:rsid w:val="00850AB9"/>
    <w:rsid w:val="00850FE3"/>
    <w:rsid w:val="008515C6"/>
    <w:rsid w:val="00851A4A"/>
    <w:rsid w:val="00852335"/>
    <w:rsid w:val="00853A13"/>
    <w:rsid w:val="008605D1"/>
    <w:rsid w:val="00860ED8"/>
    <w:rsid w:val="00870C92"/>
    <w:rsid w:val="0087376F"/>
    <w:rsid w:val="00873EED"/>
    <w:rsid w:val="008764A1"/>
    <w:rsid w:val="008765CE"/>
    <w:rsid w:val="008767FE"/>
    <w:rsid w:val="008800D9"/>
    <w:rsid w:val="00880F43"/>
    <w:rsid w:val="00883D38"/>
    <w:rsid w:val="00886039"/>
    <w:rsid w:val="0088677B"/>
    <w:rsid w:val="00886E88"/>
    <w:rsid w:val="00887CA2"/>
    <w:rsid w:val="00890314"/>
    <w:rsid w:val="00891B4C"/>
    <w:rsid w:val="00892EAC"/>
    <w:rsid w:val="0089301A"/>
    <w:rsid w:val="008946CB"/>
    <w:rsid w:val="00896048"/>
    <w:rsid w:val="00897319"/>
    <w:rsid w:val="00897E67"/>
    <w:rsid w:val="008A1333"/>
    <w:rsid w:val="008A27C2"/>
    <w:rsid w:val="008A2E73"/>
    <w:rsid w:val="008A3416"/>
    <w:rsid w:val="008A36DE"/>
    <w:rsid w:val="008A4197"/>
    <w:rsid w:val="008B0AB6"/>
    <w:rsid w:val="008B148A"/>
    <w:rsid w:val="008B7F50"/>
    <w:rsid w:val="008C012A"/>
    <w:rsid w:val="008C1E14"/>
    <w:rsid w:val="008C3771"/>
    <w:rsid w:val="008C50D7"/>
    <w:rsid w:val="008C6781"/>
    <w:rsid w:val="008D0567"/>
    <w:rsid w:val="008D0602"/>
    <w:rsid w:val="008D2A9F"/>
    <w:rsid w:val="008D2BF4"/>
    <w:rsid w:val="008D32F0"/>
    <w:rsid w:val="008D38CB"/>
    <w:rsid w:val="008D77BD"/>
    <w:rsid w:val="008E18E7"/>
    <w:rsid w:val="008E2BE4"/>
    <w:rsid w:val="008E2D3C"/>
    <w:rsid w:val="008E4A6D"/>
    <w:rsid w:val="008E4FCE"/>
    <w:rsid w:val="008E5207"/>
    <w:rsid w:val="008E5213"/>
    <w:rsid w:val="008E6100"/>
    <w:rsid w:val="008E789C"/>
    <w:rsid w:val="008F048E"/>
    <w:rsid w:val="008F0A7D"/>
    <w:rsid w:val="008F16FD"/>
    <w:rsid w:val="008F409E"/>
    <w:rsid w:val="008F414E"/>
    <w:rsid w:val="008F4C6B"/>
    <w:rsid w:val="008F5D45"/>
    <w:rsid w:val="008F66C4"/>
    <w:rsid w:val="008F6D97"/>
    <w:rsid w:val="008F7CC6"/>
    <w:rsid w:val="008F7D2B"/>
    <w:rsid w:val="009001C7"/>
    <w:rsid w:val="0090472B"/>
    <w:rsid w:val="00904C53"/>
    <w:rsid w:val="00905CB2"/>
    <w:rsid w:val="00913B42"/>
    <w:rsid w:val="0091426D"/>
    <w:rsid w:val="00915F67"/>
    <w:rsid w:val="00916DE0"/>
    <w:rsid w:val="00917D74"/>
    <w:rsid w:val="00920CFC"/>
    <w:rsid w:val="009238B1"/>
    <w:rsid w:val="009238CF"/>
    <w:rsid w:val="00925488"/>
    <w:rsid w:val="0092620B"/>
    <w:rsid w:val="00926CB1"/>
    <w:rsid w:val="009316F6"/>
    <w:rsid w:val="00931922"/>
    <w:rsid w:val="00932064"/>
    <w:rsid w:val="00932373"/>
    <w:rsid w:val="00933399"/>
    <w:rsid w:val="00935DF8"/>
    <w:rsid w:val="00940E08"/>
    <w:rsid w:val="00941F27"/>
    <w:rsid w:val="009426D8"/>
    <w:rsid w:val="00943315"/>
    <w:rsid w:val="00944EF7"/>
    <w:rsid w:val="009454D2"/>
    <w:rsid w:val="00950EF8"/>
    <w:rsid w:val="00951355"/>
    <w:rsid w:val="00952245"/>
    <w:rsid w:val="0095224D"/>
    <w:rsid w:val="00966CF3"/>
    <w:rsid w:val="009736EA"/>
    <w:rsid w:val="009813E7"/>
    <w:rsid w:val="0098216F"/>
    <w:rsid w:val="009825B0"/>
    <w:rsid w:val="00982DF8"/>
    <w:rsid w:val="009860B6"/>
    <w:rsid w:val="00986D3B"/>
    <w:rsid w:val="0099172B"/>
    <w:rsid w:val="0099201E"/>
    <w:rsid w:val="009923FD"/>
    <w:rsid w:val="009A019A"/>
    <w:rsid w:val="009A0EBA"/>
    <w:rsid w:val="009A37DD"/>
    <w:rsid w:val="009A467B"/>
    <w:rsid w:val="009A5983"/>
    <w:rsid w:val="009B1F01"/>
    <w:rsid w:val="009B3BF9"/>
    <w:rsid w:val="009D4514"/>
    <w:rsid w:val="009D5480"/>
    <w:rsid w:val="009D6844"/>
    <w:rsid w:val="009D7034"/>
    <w:rsid w:val="009E086A"/>
    <w:rsid w:val="009E1007"/>
    <w:rsid w:val="009E160B"/>
    <w:rsid w:val="009E3822"/>
    <w:rsid w:val="009E5061"/>
    <w:rsid w:val="009E5221"/>
    <w:rsid w:val="009E5569"/>
    <w:rsid w:val="009E7F31"/>
    <w:rsid w:val="009F35A3"/>
    <w:rsid w:val="009F388A"/>
    <w:rsid w:val="009F3EBC"/>
    <w:rsid w:val="009F412B"/>
    <w:rsid w:val="009F4C51"/>
    <w:rsid w:val="009F7362"/>
    <w:rsid w:val="009F7A37"/>
    <w:rsid w:val="00A01988"/>
    <w:rsid w:val="00A02EE3"/>
    <w:rsid w:val="00A031EB"/>
    <w:rsid w:val="00A0682A"/>
    <w:rsid w:val="00A06D37"/>
    <w:rsid w:val="00A137A8"/>
    <w:rsid w:val="00A15746"/>
    <w:rsid w:val="00A163D7"/>
    <w:rsid w:val="00A22A0D"/>
    <w:rsid w:val="00A2380E"/>
    <w:rsid w:val="00A24CE8"/>
    <w:rsid w:val="00A261F0"/>
    <w:rsid w:val="00A27344"/>
    <w:rsid w:val="00A279D4"/>
    <w:rsid w:val="00A33CAA"/>
    <w:rsid w:val="00A34293"/>
    <w:rsid w:val="00A376F2"/>
    <w:rsid w:val="00A37B04"/>
    <w:rsid w:val="00A40842"/>
    <w:rsid w:val="00A43954"/>
    <w:rsid w:val="00A445DA"/>
    <w:rsid w:val="00A44FB1"/>
    <w:rsid w:val="00A4640F"/>
    <w:rsid w:val="00A476CA"/>
    <w:rsid w:val="00A50EEC"/>
    <w:rsid w:val="00A5141C"/>
    <w:rsid w:val="00A515E0"/>
    <w:rsid w:val="00A52F24"/>
    <w:rsid w:val="00A5365C"/>
    <w:rsid w:val="00A538DB"/>
    <w:rsid w:val="00A54DFA"/>
    <w:rsid w:val="00A54E6A"/>
    <w:rsid w:val="00A55D37"/>
    <w:rsid w:val="00A56ED6"/>
    <w:rsid w:val="00A60AAF"/>
    <w:rsid w:val="00A60C15"/>
    <w:rsid w:val="00A62B17"/>
    <w:rsid w:val="00A65565"/>
    <w:rsid w:val="00A66D9B"/>
    <w:rsid w:val="00A6789C"/>
    <w:rsid w:val="00A70897"/>
    <w:rsid w:val="00A713CE"/>
    <w:rsid w:val="00A72AB5"/>
    <w:rsid w:val="00A72BAE"/>
    <w:rsid w:val="00A730BA"/>
    <w:rsid w:val="00A73276"/>
    <w:rsid w:val="00A734DD"/>
    <w:rsid w:val="00A736B7"/>
    <w:rsid w:val="00A755F6"/>
    <w:rsid w:val="00A77504"/>
    <w:rsid w:val="00A777C1"/>
    <w:rsid w:val="00A8045E"/>
    <w:rsid w:val="00A81CA0"/>
    <w:rsid w:val="00A824F1"/>
    <w:rsid w:val="00A84891"/>
    <w:rsid w:val="00A85CFC"/>
    <w:rsid w:val="00A90881"/>
    <w:rsid w:val="00A9200F"/>
    <w:rsid w:val="00A93EA1"/>
    <w:rsid w:val="00A94A9D"/>
    <w:rsid w:val="00A950DF"/>
    <w:rsid w:val="00A9770E"/>
    <w:rsid w:val="00AA31E2"/>
    <w:rsid w:val="00AA3284"/>
    <w:rsid w:val="00AA6D3C"/>
    <w:rsid w:val="00AA77B2"/>
    <w:rsid w:val="00AB0BB1"/>
    <w:rsid w:val="00AB12BA"/>
    <w:rsid w:val="00AB23DD"/>
    <w:rsid w:val="00AB2665"/>
    <w:rsid w:val="00AB26A4"/>
    <w:rsid w:val="00AB3DC1"/>
    <w:rsid w:val="00AB556B"/>
    <w:rsid w:val="00AB5897"/>
    <w:rsid w:val="00AB6410"/>
    <w:rsid w:val="00AB7349"/>
    <w:rsid w:val="00AC0369"/>
    <w:rsid w:val="00AC29E8"/>
    <w:rsid w:val="00AC31C3"/>
    <w:rsid w:val="00AC519A"/>
    <w:rsid w:val="00AC7B52"/>
    <w:rsid w:val="00AC7B67"/>
    <w:rsid w:val="00AD0FBE"/>
    <w:rsid w:val="00AD2D5F"/>
    <w:rsid w:val="00AD398B"/>
    <w:rsid w:val="00AE076B"/>
    <w:rsid w:val="00AE1333"/>
    <w:rsid w:val="00AE278A"/>
    <w:rsid w:val="00AE3C51"/>
    <w:rsid w:val="00AE51C2"/>
    <w:rsid w:val="00AE78FA"/>
    <w:rsid w:val="00AF073D"/>
    <w:rsid w:val="00AF166E"/>
    <w:rsid w:val="00AF3D14"/>
    <w:rsid w:val="00AF6C73"/>
    <w:rsid w:val="00B02C80"/>
    <w:rsid w:val="00B06746"/>
    <w:rsid w:val="00B078F7"/>
    <w:rsid w:val="00B12BD7"/>
    <w:rsid w:val="00B14EEB"/>
    <w:rsid w:val="00B16F0C"/>
    <w:rsid w:val="00B176FC"/>
    <w:rsid w:val="00B2227D"/>
    <w:rsid w:val="00B2385E"/>
    <w:rsid w:val="00B24CB8"/>
    <w:rsid w:val="00B251DE"/>
    <w:rsid w:val="00B273A1"/>
    <w:rsid w:val="00B30D20"/>
    <w:rsid w:val="00B32FAA"/>
    <w:rsid w:val="00B345B8"/>
    <w:rsid w:val="00B348D1"/>
    <w:rsid w:val="00B35684"/>
    <w:rsid w:val="00B3630C"/>
    <w:rsid w:val="00B36C57"/>
    <w:rsid w:val="00B37E2A"/>
    <w:rsid w:val="00B40DA8"/>
    <w:rsid w:val="00B42122"/>
    <w:rsid w:val="00B432E1"/>
    <w:rsid w:val="00B45D45"/>
    <w:rsid w:val="00B51F48"/>
    <w:rsid w:val="00B53DA5"/>
    <w:rsid w:val="00B57CEF"/>
    <w:rsid w:val="00B57FDF"/>
    <w:rsid w:val="00B61826"/>
    <w:rsid w:val="00B6294C"/>
    <w:rsid w:val="00B62C8A"/>
    <w:rsid w:val="00B62EC2"/>
    <w:rsid w:val="00B631CF"/>
    <w:rsid w:val="00B63691"/>
    <w:rsid w:val="00B6402E"/>
    <w:rsid w:val="00B66098"/>
    <w:rsid w:val="00B666DF"/>
    <w:rsid w:val="00B67A13"/>
    <w:rsid w:val="00B71293"/>
    <w:rsid w:val="00B7322D"/>
    <w:rsid w:val="00B73680"/>
    <w:rsid w:val="00B80582"/>
    <w:rsid w:val="00B80D7D"/>
    <w:rsid w:val="00B810FF"/>
    <w:rsid w:val="00B82417"/>
    <w:rsid w:val="00B82535"/>
    <w:rsid w:val="00B85626"/>
    <w:rsid w:val="00B86F0C"/>
    <w:rsid w:val="00B87781"/>
    <w:rsid w:val="00B9097F"/>
    <w:rsid w:val="00B91890"/>
    <w:rsid w:val="00B92229"/>
    <w:rsid w:val="00B92B62"/>
    <w:rsid w:val="00B9313D"/>
    <w:rsid w:val="00B945A7"/>
    <w:rsid w:val="00B95B28"/>
    <w:rsid w:val="00BA0320"/>
    <w:rsid w:val="00BA22D6"/>
    <w:rsid w:val="00BA2A41"/>
    <w:rsid w:val="00BA499F"/>
    <w:rsid w:val="00BA670B"/>
    <w:rsid w:val="00BA6727"/>
    <w:rsid w:val="00BB1199"/>
    <w:rsid w:val="00BB197B"/>
    <w:rsid w:val="00BB3B28"/>
    <w:rsid w:val="00BB4003"/>
    <w:rsid w:val="00BB4200"/>
    <w:rsid w:val="00BB4410"/>
    <w:rsid w:val="00BB7228"/>
    <w:rsid w:val="00BC3361"/>
    <w:rsid w:val="00BC3FF1"/>
    <w:rsid w:val="00BC4C3B"/>
    <w:rsid w:val="00BC66E0"/>
    <w:rsid w:val="00BD12B4"/>
    <w:rsid w:val="00BD1BB7"/>
    <w:rsid w:val="00BD7A1E"/>
    <w:rsid w:val="00BE02D9"/>
    <w:rsid w:val="00BE23C2"/>
    <w:rsid w:val="00BE3D4F"/>
    <w:rsid w:val="00BE40C3"/>
    <w:rsid w:val="00BE4354"/>
    <w:rsid w:val="00BE4554"/>
    <w:rsid w:val="00BE4B36"/>
    <w:rsid w:val="00BE4C5E"/>
    <w:rsid w:val="00BE7DF0"/>
    <w:rsid w:val="00BF37D1"/>
    <w:rsid w:val="00BF4A37"/>
    <w:rsid w:val="00BF618B"/>
    <w:rsid w:val="00BF65E8"/>
    <w:rsid w:val="00BF6C7A"/>
    <w:rsid w:val="00C01024"/>
    <w:rsid w:val="00C0572C"/>
    <w:rsid w:val="00C100BB"/>
    <w:rsid w:val="00C11732"/>
    <w:rsid w:val="00C125EA"/>
    <w:rsid w:val="00C127C0"/>
    <w:rsid w:val="00C12FFF"/>
    <w:rsid w:val="00C2758C"/>
    <w:rsid w:val="00C27E77"/>
    <w:rsid w:val="00C31732"/>
    <w:rsid w:val="00C32018"/>
    <w:rsid w:val="00C32055"/>
    <w:rsid w:val="00C32248"/>
    <w:rsid w:val="00C34293"/>
    <w:rsid w:val="00C34B3D"/>
    <w:rsid w:val="00C35D6F"/>
    <w:rsid w:val="00C35E62"/>
    <w:rsid w:val="00C369A2"/>
    <w:rsid w:val="00C36CAF"/>
    <w:rsid w:val="00C378CD"/>
    <w:rsid w:val="00C4129C"/>
    <w:rsid w:val="00C416B7"/>
    <w:rsid w:val="00C42E85"/>
    <w:rsid w:val="00C44078"/>
    <w:rsid w:val="00C44143"/>
    <w:rsid w:val="00C44689"/>
    <w:rsid w:val="00C4635D"/>
    <w:rsid w:val="00C46C4B"/>
    <w:rsid w:val="00C52E37"/>
    <w:rsid w:val="00C54AD5"/>
    <w:rsid w:val="00C54B2B"/>
    <w:rsid w:val="00C57191"/>
    <w:rsid w:val="00C57C1A"/>
    <w:rsid w:val="00C60678"/>
    <w:rsid w:val="00C6391A"/>
    <w:rsid w:val="00C6519E"/>
    <w:rsid w:val="00C67B8E"/>
    <w:rsid w:val="00C71C97"/>
    <w:rsid w:val="00C7446F"/>
    <w:rsid w:val="00C74F68"/>
    <w:rsid w:val="00C80C05"/>
    <w:rsid w:val="00C852C2"/>
    <w:rsid w:val="00C90CBA"/>
    <w:rsid w:val="00C934E5"/>
    <w:rsid w:val="00C96ADE"/>
    <w:rsid w:val="00C97576"/>
    <w:rsid w:val="00CA0B37"/>
    <w:rsid w:val="00CA0D5F"/>
    <w:rsid w:val="00CA1D6D"/>
    <w:rsid w:val="00CA3173"/>
    <w:rsid w:val="00CA4E09"/>
    <w:rsid w:val="00CA6E81"/>
    <w:rsid w:val="00CB0E3B"/>
    <w:rsid w:val="00CB2C67"/>
    <w:rsid w:val="00CB5B33"/>
    <w:rsid w:val="00CB7AF4"/>
    <w:rsid w:val="00CC1538"/>
    <w:rsid w:val="00CC1CC9"/>
    <w:rsid w:val="00CC3CBE"/>
    <w:rsid w:val="00CC6B17"/>
    <w:rsid w:val="00CD1058"/>
    <w:rsid w:val="00CD2208"/>
    <w:rsid w:val="00CD3372"/>
    <w:rsid w:val="00CD4C60"/>
    <w:rsid w:val="00CD5F65"/>
    <w:rsid w:val="00CD6134"/>
    <w:rsid w:val="00CD72FA"/>
    <w:rsid w:val="00CE297C"/>
    <w:rsid w:val="00CE3721"/>
    <w:rsid w:val="00CE59B6"/>
    <w:rsid w:val="00CE6934"/>
    <w:rsid w:val="00CE74FB"/>
    <w:rsid w:val="00CE76E1"/>
    <w:rsid w:val="00CE76F8"/>
    <w:rsid w:val="00CF1A69"/>
    <w:rsid w:val="00CF3A96"/>
    <w:rsid w:val="00CF4A20"/>
    <w:rsid w:val="00CF5C78"/>
    <w:rsid w:val="00CF7B22"/>
    <w:rsid w:val="00CF7C29"/>
    <w:rsid w:val="00D00FF3"/>
    <w:rsid w:val="00D0114A"/>
    <w:rsid w:val="00D0229D"/>
    <w:rsid w:val="00D0373F"/>
    <w:rsid w:val="00D03ED4"/>
    <w:rsid w:val="00D0419E"/>
    <w:rsid w:val="00D05407"/>
    <w:rsid w:val="00D054D6"/>
    <w:rsid w:val="00D067FA"/>
    <w:rsid w:val="00D11E0A"/>
    <w:rsid w:val="00D135A9"/>
    <w:rsid w:val="00D14931"/>
    <w:rsid w:val="00D14B12"/>
    <w:rsid w:val="00D16C03"/>
    <w:rsid w:val="00D216D0"/>
    <w:rsid w:val="00D22150"/>
    <w:rsid w:val="00D2232B"/>
    <w:rsid w:val="00D26093"/>
    <w:rsid w:val="00D301C3"/>
    <w:rsid w:val="00D308D5"/>
    <w:rsid w:val="00D338B3"/>
    <w:rsid w:val="00D348FB"/>
    <w:rsid w:val="00D35C65"/>
    <w:rsid w:val="00D35DDA"/>
    <w:rsid w:val="00D439E6"/>
    <w:rsid w:val="00D47149"/>
    <w:rsid w:val="00D520DF"/>
    <w:rsid w:val="00D522B7"/>
    <w:rsid w:val="00D54C0E"/>
    <w:rsid w:val="00D54EC8"/>
    <w:rsid w:val="00D55104"/>
    <w:rsid w:val="00D55EA8"/>
    <w:rsid w:val="00D55F64"/>
    <w:rsid w:val="00D56A51"/>
    <w:rsid w:val="00D576B1"/>
    <w:rsid w:val="00D57EDC"/>
    <w:rsid w:val="00D60A6D"/>
    <w:rsid w:val="00D60AA2"/>
    <w:rsid w:val="00D60F3C"/>
    <w:rsid w:val="00D66F71"/>
    <w:rsid w:val="00D67E38"/>
    <w:rsid w:val="00D67F55"/>
    <w:rsid w:val="00D71B99"/>
    <w:rsid w:val="00D73187"/>
    <w:rsid w:val="00D74944"/>
    <w:rsid w:val="00D74A85"/>
    <w:rsid w:val="00D75377"/>
    <w:rsid w:val="00D75C83"/>
    <w:rsid w:val="00D809C6"/>
    <w:rsid w:val="00D810CC"/>
    <w:rsid w:val="00D82779"/>
    <w:rsid w:val="00D831FF"/>
    <w:rsid w:val="00D837D4"/>
    <w:rsid w:val="00D862F6"/>
    <w:rsid w:val="00D86649"/>
    <w:rsid w:val="00D868AB"/>
    <w:rsid w:val="00D87CA0"/>
    <w:rsid w:val="00D94E7F"/>
    <w:rsid w:val="00D95A71"/>
    <w:rsid w:val="00D9693A"/>
    <w:rsid w:val="00DA3808"/>
    <w:rsid w:val="00DA4BC5"/>
    <w:rsid w:val="00DA7231"/>
    <w:rsid w:val="00DB2957"/>
    <w:rsid w:val="00DB2B9F"/>
    <w:rsid w:val="00DB46AD"/>
    <w:rsid w:val="00DB5B50"/>
    <w:rsid w:val="00DB6A6D"/>
    <w:rsid w:val="00DB6AD0"/>
    <w:rsid w:val="00DC23A1"/>
    <w:rsid w:val="00DC2BCF"/>
    <w:rsid w:val="00DC36DD"/>
    <w:rsid w:val="00DC3942"/>
    <w:rsid w:val="00DC622F"/>
    <w:rsid w:val="00DC7497"/>
    <w:rsid w:val="00DD0909"/>
    <w:rsid w:val="00DD3D4B"/>
    <w:rsid w:val="00DD43E5"/>
    <w:rsid w:val="00DD7F61"/>
    <w:rsid w:val="00DE2D02"/>
    <w:rsid w:val="00DE2D54"/>
    <w:rsid w:val="00DE6AA3"/>
    <w:rsid w:val="00DE76F1"/>
    <w:rsid w:val="00DF10B7"/>
    <w:rsid w:val="00DF31BA"/>
    <w:rsid w:val="00E0015A"/>
    <w:rsid w:val="00E009A0"/>
    <w:rsid w:val="00E00FBF"/>
    <w:rsid w:val="00E0259F"/>
    <w:rsid w:val="00E0403A"/>
    <w:rsid w:val="00E10ABC"/>
    <w:rsid w:val="00E10B16"/>
    <w:rsid w:val="00E10FC6"/>
    <w:rsid w:val="00E12E69"/>
    <w:rsid w:val="00E135B7"/>
    <w:rsid w:val="00E13A7C"/>
    <w:rsid w:val="00E14914"/>
    <w:rsid w:val="00E176CC"/>
    <w:rsid w:val="00E213E5"/>
    <w:rsid w:val="00E21C46"/>
    <w:rsid w:val="00E241C1"/>
    <w:rsid w:val="00E24E11"/>
    <w:rsid w:val="00E2656B"/>
    <w:rsid w:val="00E30A1F"/>
    <w:rsid w:val="00E3165A"/>
    <w:rsid w:val="00E31B68"/>
    <w:rsid w:val="00E323F8"/>
    <w:rsid w:val="00E32B5A"/>
    <w:rsid w:val="00E357FA"/>
    <w:rsid w:val="00E362C6"/>
    <w:rsid w:val="00E401A6"/>
    <w:rsid w:val="00E41187"/>
    <w:rsid w:val="00E4311C"/>
    <w:rsid w:val="00E43C68"/>
    <w:rsid w:val="00E43EE0"/>
    <w:rsid w:val="00E46ECB"/>
    <w:rsid w:val="00E50A12"/>
    <w:rsid w:val="00E5182C"/>
    <w:rsid w:val="00E5233F"/>
    <w:rsid w:val="00E54289"/>
    <w:rsid w:val="00E5594D"/>
    <w:rsid w:val="00E57C2A"/>
    <w:rsid w:val="00E61603"/>
    <w:rsid w:val="00E6594A"/>
    <w:rsid w:val="00E70F1C"/>
    <w:rsid w:val="00E739A7"/>
    <w:rsid w:val="00E74A4C"/>
    <w:rsid w:val="00E75315"/>
    <w:rsid w:val="00E758E1"/>
    <w:rsid w:val="00E7754F"/>
    <w:rsid w:val="00E80707"/>
    <w:rsid w:val="00E80E6B"/>
    <w:rsid w:val="00E81CC9"/>
    <w:rsid w:val="00E824D4"/>
    <w:rsid w:val="00E84474"/>
    <w:rsid w:val="00E858C1"/>
    <w:rsid w:val="00E87E22"/>
    <w:rsid w:val="00E9069B"/>
    <w:rsid w:val="00E91DD4"/>
    <w:rsid w:val="00E93E0B"/>
    <w:rsid w:val="00E94678"/>
    <w:rsid w:val="00E956BC"/>
    <w:rsid w:val="00E95F0D"/>
    <w:rsid w:val="00E97415"/>
    <w:rsid w:val="00EA3D22"/>
    <w:rsid w:val="00EA5559"/>
    <w:rsid w:val="00EA6CA6"/>
    <w:rsid w:val="00EA7530"/>
    <w:rsid w:val="00EB13FA"/>
    <w:rsid w:val="00EB16C1"/>
    <w:rsid w:val="00EB2AFD"/>
    <w:rsid w:val="00EB3792"/>
    <w:rsid w:val="00EB4C95"/>
    <w:rsid w:val="00EB5045"/>
    <w:rsid w:val="00EB5952"/>
    <w:rsid w:val="00EB6861"/>
    <w:rsid w:val="00EC1A0D"/>
    <w:rsid w:val="00EC76F8"/>
    <w:rsid w:val="00EC7836"/>
    <w:rsid w:val="00ED04A7"/>
    <w:rsid w:val="00ED0922"/>
    <w:rsid w:val="00ED2579"/>
    <w:rsid w:val="00ED6076"/>
    <w:rsid w:val="00ED7E54"/>
    <w:rsid w:val="00EE064A"/>
    <w:rsid w:val="00EE1C09"/>
    <w:rsid w:val="00EE1D32"/>
    <w:rsid w:val="00EE4842"/>
    <w:rsid w:val="00EF161A"/>
    <w:rsid w:val="00EF43CE"/>
    <w:rsid w:val="00EF5B06"/>
    <w:rsid w:val="00EF74C0"/>
    <w:rsid w:val="00EF766D"/>
    <w:rsid w:val="00EF7E63"/>
    <w:rsid w:val="00EF7FDA"/>
    <w:rsid w:val="00F01382"/>
    <w:rsid w:val="00F0254B"/>
    <w:rsid w:val="00F03189"/>
    <w:rsid w:val="00F04595"/>
    <w:rsid w:val="00F05E07"/>
    <w:rsid w:val="00F07260"/>
    <w:rsid w:val="00F11D27"/>
    <w:rsid w:val="00F1650F"/>
    <w:rsid w:val="00F17B9B"/>
    <w:rsid w:val="00F240DA"/>
    <w:rsid w:val="00F24445"/>
    <w:rsid w:val="00F24C54"/>
    <w:rsid w:val="00F256A1"/>
    <w:rsid w:val="00F309ED"/>
    <w:rsid w:val="00F31755"/>
    <w:rsid w:val="00F33A99"/>
    <w:rsid w:val="00F364C4"/>
    <w:rsid w:val="00F36602"/>
    <w:rsid w:val="00F37207"/>
    <w:rsid w:val="00F455B7"/>
    <w:rsid w:val="00F4639E"/>
    <w:rsid w:val="00F46F2E"/>
    <w:rsid w:val="00F5075A"/>
    <w:rsid w:val="00F5411E"/>
    <w:rsid w:val="00F55341"/>
    <w:rsid w:val="00F55366"/>
    <w:rsid w:val="00F56B69"/>
    <w:rsid w:val="00F60304"/>
    <w:rsid w:val="00F6077F"/>
    <w:rsid w:val="00F60817"/>
    <w:rsid w:val="00F74681"/>
    <w:rsid w:val="00F7597D"/>
    <w:rsid w:val="00F8058D"/>
    <w:rsid w:val="00F8085B"/>
    <w:rsid w:val="00F82DC5"/>
    <w:rsid w:val="00F83FF7"/>
    <w:rsid w:val="00F85525"/>
    <w:rsid w:val="00F85AA7"/>
    <w:rsid w:val="00F87EA2"/>
    <w:rsid w:val="00F9058B"/>
    <w:rsid w:val="00F9084D"/>
    <w:rsid w:val="00F91291"/>
    <w:rsid w:val="00F9143A"/>
    <w:rsid w:val="00F932E6"/>
    <w:rsid w:val="00F953B2"/>
    <w:rsid w:val="00F954DF"/>
    <w:rsid w:val="00F96520"/>
    <w:rsid w:val="00F97283"/>
    <w:rsid w:val="00F97FC0"/>
    <w:rsid w:val="00FA033C"/>
    <w:rsid w:val="00FA1283"/>
    <w:rsid w:val="00FA1E30"/>
    <w:rsid w:val="00FA3335"/>
    <w:rsid w:val="00FA722C"/>
    <w:rsid w:val="00FB0720"/>
    <w:rsid w:val="00FB2E72"/>
    <w:rsid w:val="00FB4B05"/>
    <w:rsid w:val="00FB6DDF"/>
    <w:rsid w:val="00FB7FCF"/>
    <w:rsid w:val="00FC2E89"/>
    <w:rsid w:val="00FC2FF0"/>
    <w:rsid w:val="00FC50F6"/>
    <w:rsid w:val="00FC6915"/>
    <w:rsid w:val="00FC7DBC"/>
    <w:rsid w:val="00FD0F0A"/>
    <w:rsid w:val="00FD11A8"/>
    <w:rsid w:val="00FD3CBE"/>
    <w:rsid w:val="00FD3D3B"/>
    <w:rsid w:val="00FD75F5"/>
    <w:rsid w:val="00FD7FFC"/>
    <w:rsid w:val="00FE18BE"/>
    <w:rsid w:val="00FE2DA7"/>
    <w:rsid w:val="00FE32FE"/>
    <w:rsid w:val="00FE424C"/>
    <w:rsid w:val="00FE4C44"/>
    <w:rsid w:val="00FE529F"/>
    <w:rsid w:val="00FE7C5D"/>
    <w:rsid w:val="00FE7DDF"/>
    <w:rsid w:val="00FF0880"/>
    <w:rsid w:val="00FF0F7D"/>
    <w:rsid w:val="00FF141C"/>
    <w:rsid w:val="00FF2A8E"/>
    <w:rsid w:val="00FF2E85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F3507B"/>
  <w15:chartTrackingRefBased/>
  <w15:docId w15:val="{F1C086BC-BFCF-477F-8854-1BACE076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3446"/>
    <w:pPr>
      <w:suppressAutoHyphens/>
      <w:spacing w:after="0" w:line="276" w:lineRule="auto"/>
    </w:pPr>
    <w:rPr>
      <w:rFonts w:ascii="Calibri" w:eastAsia="Times New Roman" w:hAnsi="Calibri" w:cs="Times New Roman"/>
      <w:lang w:val="sk-SK"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973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736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E34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D60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Dot pt,F5 List Paragraph,Recommendation,List Paragraph11,List Paragraph à moi,Odsek zoznamu4,No Spacing1,List Paragraph Char Char Char,Indicator Text,Numbered Para 1,Colorful List - Accent 11,Bullet 1,L,3"/>
    <w:basedOn w:val="Normlny"/>
    <w:link w:val="OdsekzoznamuChar"/>
    <w:uiPriority w:val="34"/>
    <w:qFormat/>
    <w:rsid w:val="009736E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9736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9736EA"/>
    <w:pPr>
      <w:suppressAutoHyphens w:val="0"/>
      <w:spacing w:line="259" w:lineRule="auto"/>
      <w:outlineLvl w:val="9"/>
    </w:pPr>
    <w:rPr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9736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 w:eastAsia="ar-SA"/>
    </w:rPr>
  </w:style>
  <w:style w:type="character" w:customStyle="1" w:styleId="OdsekzoznamuChar">
    <w:name w:val="Odsek zoznamu Char"/>
    <w:aliases w:val="body Char,Odsek zoznamu2 Char,Odsek zoznamu1 Char,Dot pt Char,F5 List Paragraph Char,Recommendation Char,List Paragraph11 Char,List Paragraph à moi Char,Odsek zoznamu4 Char,No Spacing1 Char,List Paragraph Char Char Char Char,L Char"/>
    <w:basedOn w:val="Predvolenpsmoodseku"/>
    <w:link w:val="Odsekzoznamu"/>
    <w:uiPriority w:val="34"/>
    <w:qFormat/>
    <w:locked/>
    <w:rsid w:val="009736EA"/>
    <w:rPr>
      <w:rFonts w:ascii="Calibri" w:eastAsia="Times New Roman" w:hAnsi="Calibri" w:cs="Times New Roman"/>
      <w:lang w:val="sk-SK" w:eastAsia="ar-SA"/>
    </w:rPr>
  </w:style>
  <w:style w:type="character" w:styleId="Zstupntext">
    <w:name w:val="Placeholder Text"/>
    <w:basedOn w:val="Predvolenpsmoodseku"/>
    <w:uiPriority w:val="99"/>
    <w:semiHidden/>
    <w:rsid w:val="009736EA"/>
    <w:rPr>
      <w:rFonts w:ascii="Times New Roman" w:hAnsi="Times New Roman" w:cs="Times New Roman" w:hint="default"/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736EA"/>
    <w:pPr>
      <w:suppressAutoHyphens w:val="0"/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736EA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736EA"/>
    <w:rPr>
      <w:vertAlign w:val="superscript"/>
    </w:rPr>
  </w:style>
  <w:style w:type="character" w:styleId="Intenzvnezvraznenie">
    <w:name w:val="Intense Emphasis"/>
    <w:basedOn w:val="Predvolenpsmoodseku"/>
    <w:uiPriority w:val="21"/>
    <w:qFormat/>
    <w:rsid w:val="009736EA"/>
    <w:rPr>
      <w:i/>
      <w:iCs/>
      <w:color w:val="5B9BD5" w:themeColor="accent1"/>
    </w:rPr>
  </w:style>
  <w:style w:type="paragraph" w:styleId="Obsah3">
    <w:name w:val="toc 3"/>
    <w:basedOn w:val="Normlny"/>
    <w:next w:val="Normlny"/>
    <w:autoRedefine/>
    <w:uiPriority w:val="39"/>
    <w:unhideWhenUsed/>
    <w:rsid w:val="0066304D"/>
    <w:pPr>
      <w:tabs>
        <w:tab w:val="left" w:pos="1134"/>
        <w:tab w:val="right" w:leader="dot" w:pos="9062"/>
      </w:tabs>
      <w:suppressAutoHyphens w:val="0"/>
      <w:spacing w:after="100" w:line="259" w:lineRule="auto"/>
      <w:ind w:left="1276" w:hanging="836"/>
    </w:pPr>
    <w:rPr>
      <w:rFonts w:asciiTheme="minorHAnsi" w:eastAsiaTheme="minorEastAsia" w:hAnsiTheme="minorHAnsi"/>
      <w:lang w:eastAsia="sk-SK"/>
    </w:rPr>
  </w:style>
  <w:style w:type="paragraph" w:styleId="Bezriadkovania">
    <w:name w:val="No Spacing"/>
    <w:link w:val="BezriadkovaniaChar"/>
    <w:uiPriority w:val="1"/>
    <w:qFormat/>
    <w:rsid w:val="009736EA"/>
    <w:pPr>
      <w:spacing w:after="0" w:line="240" w:lineRule="auto"/>
    </w:pPr>
    <w:rPr>
      <w:lang w:val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736EA"/>
    <w:rPr>
      <w:lang w:val="sk-SK"/>
    </w:rPr>
  </w:style>
  <w:style w:type="paragraph" w:styleId="Obsah1">
    <w:name w:val="toc 1"/>
    <w:basedOn w:val="Normlny"/>
    <w:next w:val="Normlny"/>
    <w:autoRedefine/>
    <w:uiPriority w:val="39"/>
    <w:unhideWhenUsed/>
    <w:rsid w:val="00DE76F1"/>
    <w:pPr>
      <w:tabs>
        <w:tab w:val="left" w:pos="440"/>
        <w:tab w:val="right" w:leader="dot" w:pos="9060"/>
      </w:tabs>
      <w:spacing w:after="100" w:line="240" w:lineRule="auto"/>
      <w:ind w:left="1134" w:hanging="1134"/>
    </w:pPr>
  </w:style>
  <w:style w:type="paragraph" w:styleId="Obsah2">
    <w:name w:val="toc 2"/>
    <w:basedOn w:val="Normlny"/>
    <w:next w:val="Normlny"/>
    <w:autoRedefine/>
    <w:uiPriority w:val="39"/>
    <w:unhideWhenUsed/>
    <w:rsid w:val="00025874"/>
    <w:pPr>
      <w:tabs>
        <w:tab w:val="left" w:pos="880"/>
        <w:tab w:val="right" w:leader="dot" w:pos="9060"/>
      </w:tabs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9736E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736EA"/>
    <w:pPr>
      <w:tabs>
        <w:tab w:val="center" w:pos="4680"/>
        <w:tab w:val="right" w:pos="9360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36EA"/>
    <w:rPr>
      <w:rFonts w:ascii="Calibri" w:eastAsia="Times New Roman" w:hAnsi="Calibri" w:cs="Times New Roman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9736EA"/>
    <w:pPr>
      <w:tabs>
        <w:tab w:val="center" w:pos="4680"/>
        <w:tab w:val="right" w:pos="9360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36EA"/>
    <w:rPr>
      <w:rFonts w:ascii="Calibri" w:eastAsia="Times New Roman" w:hAnsi="Calibri" w:cs="Times New Roman"/>
      <w:lang w:val="sk-SK"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28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2859"/>
    <w:rPr>
      <w:rFonts w:ascii="Segoe UI" w:eastAsia="Times New Roman" w:hAnsi="Segoe UI" w:cs="Segoe UI"/>
      <w:sz w:val="18"/>
      <w:szCs w:val="18"/>
      <w:lang w:val="sk-SK"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7E34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k-SK" w:eastAsia="ar-SA"/>
    </w:rPr>
  </w:style>
  <w:style w:type="table" w:styleId="Mriekatabuky">
    <w:name w:val="Table Grid"/>
    <w:basedOn w:val="Normlnatabuka"/>
    <w:uiPriority w:val="59"/>
    <w:rsid w:val="007E3428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7E3428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00FF3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E24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E24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E2460"/>
    <w:rPr>
      <w:rFonts w:ascii="Calibri" w:eastAsia="Times New Roman" w:hAnsi="Calibri" w:cs="Times New Roman"/>
      <w:sz w:val="20"/>
      <w:szCs w:val="20"/>
      <w:lang w:val="sk-SK"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24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2460"/>
    <w:rPr>
      <w:rFonts w:ascii="Calibri" w:eastAsia="Times New Roman" w:hAnsi="Calibri" w:cs="Times New Roman"/>
      <w:b/>
      <w:bCs/>
      <w:sz w:val="20"/>
      <w:szCs w:val="20"/>
      <w:lang w:val="sk-SK" w:eastAsia="ar-SA"/>
    </w:rPr>
  </w:style>
  <w:style w:type="paragraph" w:styleId="Revzia">
    <w:name w:val="Revision"/>
    <w:hidden/>
    <w:uiPriority w:val="99"/>
    <w:semiHidden/>
    <w:rsid w:val="007E2460"/>
    <w:pPr>
      <w:spacing w:after="0" w:line="240" w:lineRule="auto"/>
    </w:pPr>
    <w:rPr>
      <w:rFonts w:ascii="Calibri" w:eastAsia="Times New Roman" w:hAnsi="Calibri" w:cs="Times New Roman"/>
      <w:lang w:val="sk-SK" w:eastAsia="ar-SA"/>
    </w:rPr>
  </w:style>
  <w:style w:type="table" w:customStyle="1" w:styleId="Mriekatabuky1">
    <w:name w:val="Mriežka tabuľky1"/>
    <w:basedOn w:val="Normlnatabuka"/>
    <w:next w:val="Mriekatabuky"/>
    <w:uiPriority w:val="59"/>
    <w:rsid w:val="009813E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qFormat/>
    <w:rsid w:val="00EB13F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EB16C1"/>
  </w:style>
  <w:style w:type="paragraph" w:customStyle="1" w:styleId="footnotedescription">
    <w:name w:val="footnote description"/>
    <w:next w:val="Normlny"/>
    <w:link w:val="footnotedescriptionChar"/>
    <w:hidden/>
    <w:rsid w:val="00EB16C1"/>
    <w:pPr>
      <w:spacing w:after="0" w:line="25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EB16C1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EB16C1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EB16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EB5952"/>
  </w:style>
  <w:style w:type="paragraph" w:customStyle="1" w:styleId="Default">
    <w:name w:val="Default"/>
    <w:rsid w:val="00FA7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Obyajntext">
    <w:name w:val="Plain Text"/>
    <w:basedOn w:val="Normlny"/>
    <w:link w:val="ObyajntextChar"/>
    <w:uiPriority w:val="99"/>
    <w:unhideWhenUsed/>
    <w:rsid w:val="00583E64"/>
    <w:pPr>
      <w:suppressAutoHyphens w:val="0"/>
      <w:spacing w:line="240" w:lineRule="auto"/>
    </w:pPr>
    <w:rPr>
      <w:rFonts w:eastAsiaTheme="minorHAnsi" w:cs="Calibri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83E64"/>
    <w:rPr>
      <w:rFonts w:ascii="Calibri" w:hAnsi="Calibri" w:cs="Calibri"/>
      <w:lang w:val="sk-SK"/>
    </w:rPr>
  </w:style>
  <w:style w:type="paragraph" w:customStyle="1" w:styleId="Standard">
    <w:name w:val="Standard"/>
    <w:qFormat/>
    <w:rsid w:val="00D576B1"/>
    <w:pPr>
      <w:suppressAutoHyphens/>
      <w:spacing w:after="0" w:line="240" w:lineRule="auto"/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Standard"/>
    <w:qFormat/>
    <w:rsid w:val="00D576B1"/>
    <w:pPr>
      <w:spacing w:after="140" w:line="276" w:lineRule="auto"/>
    </w:pPr>
  </w:style>
  <w:style w:type="paragraph" w:styleId="Zkladntext2">
    <w:name w:val="Body Text 2"/>
    <w:basedOn w:val="Normlny"/>
    <w:link w:val="Zkladntext2Char"/>
    <w:uiPriority w:val="99"/>
    <w:rsid w:val="0005631C"/>
    <w:pPr>
      <w:suppressAutoHyphens w:val="0"/>
      <w:spacing w:line="240" w:lineRule="auto"/>
      <w:ind w:firstLine="708"/>
    </w:pPr>
    <w:rPr>
      <w:rFonts w:ascii="Times New Roman" w:eastAsiaTheme="minorEastAsia" w:hAnsi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05631C"/>
    <w:rPr>
      <w:rFonts w:ascii="Times New Roman" w:eastAsiaTheme="minorEastAsia" w:hAnsi="Times New Roman" w:cs="Times New Roman"/>
      <w:sz w:val="24"/>
      <w:szCs w:val="24"/>
      <w:lang w:val="sk-SK" w:eastAsia="cs-CZ"/>
    </w:rPr>
  </w:style>
  <w:style w:type="character" w:customStyle="1" w:styleId="xapple-converted-space">
    <w:name w:val="x_apple-converted-space"/>
    <w:basedOn w:val="Predvolenpsmoodseku"/>
    <w:rsid w:val="005769D8"/>
  </w:style>
  <w:style w:type="character" w:customStyle="1" w:styleId="Nadpis4Char">
    <w:name w:val="Nadpis 4 Char"/>
    <w:basedOn w:val="Predvolenpsmoodseku"/>
    <w:link w:val="Nadpis4"/>
    <w:uiPriority w:val="9"/>
    <w:rsid w:val="00ED6076"/>
    <w:rPr>
      <w:rFonts w:asciiTheme="majorHAnsi" w:eastAsiaTheme="majorEastAsia" w:hAnsiTheme="majorHAnsi" w:cstheme="majorBidi"/>
      <w:i/>
      <w:iCs/>
      <w:color w:val="2E74B5" w:themeColor="accent1" w:themeShade="BF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0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8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8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8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6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0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diagramData" Target="diagrams/data1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E80F6A-2ECB-4E4C-8D32-226B157952FA}" type="doc">
      <dgm:prSet loTypeId="urn:microsoft.com/office/officeart/2005/8/layout/pyramid3" loCatId="pyramid" qsTypeId="urn:microsoft.com/office/officeart/2005/8/quickstyle/simple1" qsCatId="simple" csTypeId="urn:microsoft.com/office/officeart/2005/8/colors/accent2_5" csCatId="accent2" phldr="1"/>
      <dgm:spPr/>
      <dgm:t>
        <a:bodyPr/>
        <a:lstStyle/>
        <a:p>
          <a:endParaRPr lang="sk-SK"/>
        </a:p>
      </dgm:t>
    </dgm:pt>
    <dgm:pt modelId="{DBC24E6D-8FBC-474C-9CF7-198194FF2E17}">
      <dgm:prSet phldrT="[Text]" custT="1"/>
      <dgm:spPr/>
      <dgm:t>
        <a:bodyPr/>
        <a:lstStyle/>
        <a:p>
          <a:r>
            <a:rPr lang="sk-SK" sz="1100"/>
            <a:t>10 mld. EUR</a:t>
          </a:r>
        </a:p>
        <a:p>
          <a:r>
            <a:rPr lang="sk-SK" sz="1100"/>
            <a:t>schválené HaVK a zámery NP + alokácia pre samosprávu v rámci IÚI</a:t>
          </a:r>
        </a:p>
      </dgm:t>
    </dgm:pt>
    <dgm:pt modelId="{B16E8457-0884-45AB-848E-A694F1B31AF8}" type="parTrans" cxnId="{75BE1BC7-2053-412E-8D68-73EE28FB7F2A}">
      <dgm:prSet/>
      <dgm:spPr/>
      <dgm:t>
        <a:bodyPr/>
        <a:lstStyle/>
        <a:p>
          <a:endParaRPr lang="sk-SK" sz="1100"/>
        </a:p>
      </dgm:t>
    </dgm:pt>
    <dgm:pt modelId="{8F5DD4EA-860E-4B34-9CAE-048E5CDE7F77}" type="sibTrans" cxnId="{75BE1BC7-2053-412E-8D68-73EE28FB7F2A}">
      <dgm:prSet/>
      <dgm:spPr/>
      <dgm:t>
        <a:bodyPr/>
        <a:lstStyle/>
        <a:p>
          <a:endParaRPr lang="sk-SK" sz="1100"/>
        </a:p>
      </dgm:t>
    </dgm:pt>
    <dgm:pt modelId="{0628BCD9-93A9-49D1-AF13-A874CDAA7A5C}">
      <dgm:prSet phldrT="[Text]" custT="1"/>
      <dgm:spPr/>
      <dgm:t>
        <a:bodyPr/>
        <a:lstStyle/>
        <a:p>
          <a:r>
            <a:rPr lang="sk-SK" sz="1100"/>
            <a:t>3,40 mld. EUR</a:t>
          </a:r>
        </a:p>
        <a:p>
          <a:r>
            <a:rPr lang="sk-SK" sz="1100"/>
            <a:t>predložené výzvy na posúdenie na RO</a:t>
          </a:r>
        </a:p>
      </dgm:t>
    </dgm:pt>
    <dgm:pt modelId="{38A056DE-6EDA-4E80-A06D-28F764BB41C2}" type="parTrans" cxnId="{16FFDC1B-3EEB-4057-9526-227B85492B94}">
      <dgm:prSet/>
      <dgm:spPr/>
      <dgm:t>
        <a:bodyPr/>
        <a:lstStyle/>
        <a:p>
          <a:endParaRPr lang="sk-SK" sz="1100"/>
        </a:p>
      </dgm:t>
    </dgm:pt>
    <dgm:pt modelId="{14043382-96D3-4CE7-94C9-D0164939048A}" type="sibTrans" cxnId="{16FFDC1B-3EEB-4057-9526-227B85492B94}">
      <dgm:prSet/>
      <dgm:spPr/>
      <dgm:t>
        <a:bodyPr/>
        <a:lstStyle/>
        <a:p>
          <a:endParaRPr lang="sk-SK" sz="1100"/>
        </a:p>
      </dgm:t>
    </dgm:pt>
    <dgm:pt modelId="{BCA6B65B-551F-4FD8-A5AE-F86270CB26CD}">
      <dgm:prSet phldrT="[Text]" custT="1"/>
      <dgm:spPr/>
      <dgm:t>
        <a:bodyPr tIns="72000" anchor="t" anchorCtr="0"/>
        <a:lstStyle/>
        <a:p>
          <a:r>
            <a:rPr lang="sk-SK" sz="1100"/>
            <a:t>949 mil. EUR</a:t>
          </a:r>
        </a:p>
        <a:p>
          <a:r>
            <a:rPr lang="sk-SK" sz="1100"/>
            <a:t>projekty</a:t>
          </a:r>
        </a:p>
      </dgm:t>
    </dgm:pt>
    <dgm:pt modelId="{905DDD58-000B-43B9-B52A-07DECADECD6A}" type="parTrans" cxnId="{89515A30-66FC-4AD2-8B03-5B58D6844CCF}">
      <dgm:prSet/>
      <dgm:spPr/>
      <dgm:t>
        <a:bodyPr/>
        <a:lstStyle/>
        <a:p>
          <a:endParaRPr lang="sk-SK" sz="1100"/>
        </a:p>
      </dgm:t>
    </dgm:pt>
    <dgm:pt modelId="{2994DABD-C372-4318-A802-B300BC98A22D}" type="sibTrans" cxnId="{89515A30-66FC-4AD2-8B03-5B58D6844CCF}">
      <dgm:prSet/>
      <dgm:spPr/>
      <dgm:t>
        <a:bodyPr/>
        <a:lstStyle/>
        <a:p>
          <a:endParaRPr lang="sk-SK" sz="1100"/>
        </a:p>
      </dgm:t>
    </dgm:pt>
    <dgm:pt modelId="{1C2569DF-7215-4CD9-802E-9AF0385E92B3}">
      <dgm:prSet custT="1"/>
      <dgm:spPr/>
      <dgm:t>
        <a:bodyPr/>
        <a:lstStyle/>
        <a:p>
          <a:r>
            <a:rPr lang="sk-SK" sz="1100"/>
            <a:t>2,66 mld. EUR</a:t>
          </a:r>
        </a:p>
        <a:p>
          <a:r>
            <a:rPr lang="sk-SK" sz="1100"/>
            <a:t>posúdené výzvy zo strany RO</a:t>
          </a:r>
        </a:p>
      </dgm:t>
    </dgm:pt>
    <dgm:pt modelId="{6DC74CA2-16E1-4987-A1F6-176A6CE33A08}" type="parTrans" cxnId="{C7576025-7914-4F63-9CFC-B6A453832D45}">
      <dgm:prSet/>
      <dgm:spPr/>
      <dgm:t>
        <a:bodyPr/>
        <a:lstStyle/>
        <a:p>
          <a:endParaRPr lang="sk-SK" sz="1100"/>
        </a:p>
      </dgm:t>
    </dgm:pt>
    <dgm:pt modelId="{78D43BE6-AF4F-49E5-A5D3-0650D78A0E53}" type="sibTrans" cxnId="{C7576025-7914-4F63-9CFC-B6A453832D45}">
      <dgm:prSet/>
      <dgm:spPr/>
      <dgm:t>
        <a:bodyPr/>
        <a:lstStyle/>
        <a:p>
          <a:endParaRPr lang="sk-SK" sz="1100"/>
        </a:p>
      </dgm:t>
    </dgm:pt>
    <dgm:pt modelId="{4F7CE549-8298-45D0-925F-71C78D3043A3}">
      <dgm:prSet custT="1"/>
      <dgm:spPr/>
      <dgm:t>
        <a:bodyPr/>
        <a:lstStyle/>
        <a:p>
          <a:r>
            <a:rPr lang="sk-SK" sz="1100"/>
            <a:t>2,54 mld. EUR</a:t>
          </a:r>
        </a:p>
        <a:p>
          <a:r>
            <a:rPr lang="sk-SK" sz="1100"/>
            <a:t>vyhlásené výzvy</a:t>
          </a:r>
        </a:p>
      </dgm:t>
    </dgm:pt>
    <dgm:pt modelId="{46E59CBC-D602-4EF4-AE27-61FC91B65C3D}" type="parTrans" cxnId="{7F7792D1-DF63-4D8D-AE54-170F8250A28A}">
      <dgm:prSet/>
      <dgm:spPr/>
      <dgm:t>
        <a:bodyPr/>
        <a:lstStyle/>
        <a:p>
          <a:endParaRPr lang="sk-SK" sz="1100"/>
        </a:p>
      </dgm:t>
    </dgm:pt>
    <dgm:pt modelId="{655F7681-9038-401F-9210-03A02BB419F4}" type="sibTrans" cxnId="{7F7792D1-DF63-4D8D-AE54-170F8250A28A}">
      <dgm:prSet/>
      <dgm:spPr/>
      <dgm:t>
        <a:bodyPr/>
        <a:lstStyle/>
        <a:p>
          <a:endParaRPr lang="sk-SK" sz="1100"/>
        </a:p>
      </dgm:t>
    </dgm:pt>
    <dgm:pt modelId="{CE481298-A445-4605-BC5D-50C7A6970456}" type="pres">
      <dgm:prSet presAssocID="{51E80F6A-2ECB-4E4C-8D32-226B157952F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sk-SK"/>
        </a:p>
      </dgm:t>
    </dgm:pt>
    <dgm:pt modelId="{B7ED9AAF-DD2D-42B7-BDA1-8AB00F63A2F1}" type="pres">
      <dgm:prSet presAssocID="{DBC24E6D-8FBC-474C-9CF7-198194FF2E17}" presName="Name8" presStyleCnt="0"/>
      <dgm:spPr/>
      <dgm:t>
        <a:bodyPr/>
        <a:lstStyle/>
        <a:p>
          <a:endParaRPr lang="sk-SK"/>
        </a:p>
      </dgm:t>
    </dgm:pt>
    <dgm:pt modelId="{B62EFA35-B0FF-4479-A0FA-B7A535D9A843}" type="pres">
      <dgm:prSet presAssocID="{DBC24E6D-8FBC-474C-9CF7-198194FF2E17}" presName="level" presStyleLbl="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07C8F99E-2435-4BCA-ADE1-547ED29F332C}" type="pres">
      <dgm:prSet presAssocID="{DBC24E6D-8FBC-474C-9CF7-198194FF2E1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49C00163-7729-4032-9B45-B953C1047948}" type="pres">
      <dgm:prSet presAssocID="{0628BCD9-93A9-49D1-AF13-A874CDAA7A5C}" presName="Name8" presStyleCnt="0"/>
      <dgm:spPr/>
      <dgm:t>
        <a:bodyPr/>
        <a:lstStyle/>
        <a:p>
          <a:endParaRPr lang="sk-SK"/>
        </a:p>
      </dgm:t>
    </dgm:pt>
    <dgm:pt modelId="{AE08870E-0A01-403C-9607-AF86B5164242}" type="pres">
      <dgm:prSet presAssocID="{0628BCD9-93A9-49D1-AF13-A874CDAA7A5C}" presName="level" presStyleLbl="node1" presStyleIdx="1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ABFFDAD3-E661-448F-BA51-0921185AF1E3}" type="pres">
      <dgm:prSet presAssocID="{0628BCD9-93A9-49D1-AF13-A874CDAA7A5C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EAD59F83-6F2A-4431-8661-522F878AD2BF}" type="pres">
      <dgm:prSet presAssocID="{1C2569DF-7215-4CD9-802E-9AF0385E92B3}" presName="Name8" presStyleCnt="0"/>
      <dgm:spPr/>
      <dgm:t>
        <a:bodyPr/>
        <a:lstStyle/>
        <a:p>
          <a:endParaRPr lang="sk-SK"/>
        </a:p>
      </dgm:t>
    </dgm:pt>
    <dgm:pt modelId="{E6B78E14-5C19-4781-A5A4-662D7A247799}" type="pres">
      <dgm:prSet presAssocID="{1C2569DF-7215-4CD9-802E-9AF0385E92B3}" presName="level" presStyleLbl="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25698F64-EA4E-4D88-AAEC-B151EEB6860B}" type="pres">
      <dgm:prSet presAssocID="{1C2569DF-7215-4CD9-802E-9AF0385E92B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F310922D-2CB0-4515-8F3A-8190D832BEEB}" type="pres">
      <dgm:prSet presAssocID="{4F7CE549-8298-45D0-925F-71C78D3043A3}" presName="Name8" presStyleCnt="0"/>
      <dgm:spPr/>
      <dgm:t>
        <a:bodyPr/>
        <a:lstStyle/>
        <a:p>
          <a:endParaRPr lang="sk-SK"/>
        </a:p>
      </dgm:t>
    </dgm:pt>
    <dgm:pt modelId="{72E973F9-EF01-445E-B21B-96E9C42F5737}" type="pres">
      <dgm:prSet presAssocID="{4F7CE549-8298-45D0-925F-71C78D3043A3}" presName="level" presStyleLbl="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E602160D-4C37-4773-A2B9-F6E59215F7A0}" type="pres">
      <dgm:prSet presAssocID="{4F7CE549-8298-45D0-925F-71C78D3043A3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C874D182-19FF-4BF3-A7D8-3E2DFEF540D2}" type="pres">
      <dgm:prSet presAssocID="{BCA6B65B-551F-4FD8-A5AE-F86270CB26CD}" presName="Name8" presStyleCnt="0"/>
      <dgm:spPr/>
      <dgm:t>
        <a:bodyPr/>
        <a:lstStyle/>
        <a:p>
          <a:endParaRPr lang="sk-SK"/>
        </a:p>
      </dgm:t>
    </dgm:pt>
    <dgm:pt modelId="{4548CFBD-997A-49D7-BA57-8E2D539ECFDA}" type="pres">
      <dgm:prSet presAssocID="{BCA6B65B-551F-4FD8-A5AE-F86270CB26CD}" presName="level" presStyleLbl="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  <dgm:pt modelId="{68E7201E-79AA-476A-BBA7-EDB13C67E491}" type="pres">
      <dgm:prSet presAssocID="{BCA6B65B-551F-4FD8-A5AE-F86270CB26CD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sk-SK"/>
        </a:p>
      </dgm:t>
    </dgm:pt>
  </dgm:ptLst>
  <dgm:cxnLst>
    <dgm:cxn modelId="{16FFDC1B-3EEB-4057-9526-227B85492B94}" srcId="{51E80F6A-2ECB-4E4C-8D32-226B157952FA}" destId="{0628BCD9-93A9-49D1-AF13-A874CDAA7A5C}" srcOrd="1" destOrd="0" parTransId="{38A056DE-6EDA-4E80-A06D-28F764BB41C2}" sibTransId="{14043382-96D3-4CE7-94C9-D0164939048A}"/>
    <dgm:cxn modelId="{3D1EBC6C-C71F-4272-BF66-C67D616DA6A7}" type="presOf" srcId="{1C2569DF-7215-4CD9-802E-9AF0385E92B3}" destId="{25698F64-EA4E-4D88-AAEC-B151EEB6860B}" srcOrd="1" destOrd="0" presId="urn:microsoft.com/office/officeart/2005/8/layout/pyramid3"/>
    <dgm:cxn modelId="{6CCD6A33-2D4F-4D22-B181-7C872F73847B}" type="presOf" srcId="{4F7CE549-8298-45D0-925F-71C78D3043A3}" destId="{E602160D-4C37-4773-A2B9-F6E59215F7A0}" srcOrd="1" destOrd="0" presId="urn:microsoft.com/office/officeart/2005/8/layout/pyramid3"/>
    <dgm:cxn modelId="{75BE1BC7-2053-412E-8D68-73EE28FB7F2A}" srcId="{51E80F6A-2ECB-4E4C-8D32-226B157952FA}" destId="{DBC24E6D-8FBC-474C-9CF7-198194FF2E17}" srcOrd="0" destOrd="0" parTransId="{B16E8457-0884-45AB-848E-A694F1B31AF8}" sibTransId="{8F5DD4EA-860E-4B34-9CAE-048E5CDE7F77}"/>
    <dgm:cxn modelId="{DE1B0E4E-BAD0-486E-A18F-015AA5AAA33B}" type="presOf" srcId="{BCA6B65B-551F-4FD8-A5AE-F86270CB26CD}" destId="{4548CFBD-997A-49D7-BA57-8E2D539ECFDA}" srcOrd="0" destOrd="0" presId="urn:microsoft.com/office/officeart/2005/8/layout/pyramid3"/>
    <dgm:cxn modelId="{C7576025-7914-4F63-9CFC-B6A453832D45}" srcId="{51E80F6A-2ECB-4E4C-8D32-226B157952FA}" destId="{1C2569DF-7215-4CD9-802E-9AF0385E92B3}" srcOrd="2" destOrd="0" parTransId="{6DC74CA2-16E1-4987-A1F6-176A6CE33A08}" sibTransId="{78D43BE6-AF4F-49E5-A5D3-0650D78A0E53}"/>
    <dgm:cxn modelId="{7F7792D1-DF63-4D8D-AE54-170F8250A28A}" srcId="{51E80F6A-2ECB-4E4C-8D32-226B157952FA}" destId="{4F7CE549-8298-45D0-925F-71C78D3043A3}" srcOrd="3" destOrd="0" parTransId="{46E59CBC-D602-4EF4-AE27-61FC91B65C3D}" sibTransId="{655F7681-9038-401F-9210-03A02BB419F4}"/>
    <dgm:cxn modelId="{AE1CB7FA-953B-4F21-B786-5C6DC11D9F37}" type="presOf" srcId="{0628BCD9-93A9-49D1-AF13-A874CDAA7A5C}" destId="{ABFFDAD3-E661-448F-BA51-0921185AF1E3}" srcOrd="1" destOrd="0" presId="urn:microsoft.com/office/officeart/2005/8/layout/pyramid3"/>
    <dgm:cxn modelId="{A47D9261-89AA-4EC7-A3A8-54C07F95317A}" type="presOf" srcId="{DBC24E6D-8FBC-474C-9CF7-198194FF2E17}" destId="{B62EFA35-B0FF-4479-A0FA-B7A535D9A843}" srcOrd="0" destOrd="0" presId="urn:microsoft.com/office/officeart/2005/8/layout/pyramid3"/>
    <dgm:cxn modelId="{2995940B-8CF4-4310-9DB5-1F46768AA335}" type="presOf" srcId="{1C2569DF-7215-4CD9-802E-9AF0385E92B3}" destId="{E6B78E14-5C19-4781-A5A4-662D7A247799}" srcOrd="0" destOrd="0" presId="urn:microsoft.com/office/officeart/2005/8/layout/pyramid3"/>
    <dgm:cxn modelId="{EDC90C9A-AA28-48AB-AAAD-522AF201E5E6}" type="presOf" srcId="{BCA6B65B-551F-4FD8-A5AE-F86270CB26CD}" destId="{68E7201E-79AA-476A-BBA7-EDB13C67E491}" srcOrd="1" destOrd="0" presId="urn:microsoft.com/office/officeart/2005/8/layout/pyramid3"/>
    <dgm:cxn modelId="{08CBC6C0-D974-4412-A5FD-D27AEB93DAED}" type="presOf" srcId="{0628BCD9-93A9-49D1-AF13-A874CDAA7A5C}" destId="{AE08870E-0A01-403C-9607-AF86B5164242}" srcOrd="0" destOrd="0" presId="urn:microsoft.com/office/officeart/2005/8/layout/pyramid3"/>
    <dgm:cxn modelId="{A64C6E9B-884F-4953-BA79-0E0B35501B8D}" type="presOf" srcId="{51E80F6A-2ECB-4E4C-8D32-226B157952FA}" destId="{CE481298-A445-4605-BC5D-50C7A6970456}" srcOrd="0" destOrd="0" presId="urn:microsoft.com/office/officeart/2005/8/layout/pyramid3"/>
    <dgm:cxn modelId="{C8649A50-CBF6-40C9-923C-9D7C3774D868}" type="presOf" srcId="{DBC24E6D-8FBC-474C-9CF7-198194FF2E17}" destId="{07C8F99E-2435-4BCA-ADE1-547ED29F332C}" srcOrd="1" destOrd="0" presId="urn:microsoft.com/office/officeart/2005/8/layout/pyramid3"/>
    <dgm:cxn modelId="{A74C17D8-05CA-49E9-850D-D283F7F7B8DE}" type="presOf" srcId="{4F7CE549-8298-45D0-925F-71C78D3043A3}" destId="{72E973F9-EF01-445E-B21B-96E9C42F5737}" srcOrd="0" destOrd="0" presId="urn:microsoft.com/office/officeart/2005/8/layout/pyramid3"/>
    <dgm:cxn modelId="{89515A30-66FC-4AD2-8B03-5B58D6844CCF}" srcId="{51E80F6A-2ECB-4E4C-8D32-226B157952FA}" destId="{BCA6B65B-551F-4FD8-A5AE-F86270CB26CD}" srcOrd="4" destOrd="0" parTransId="{905DDD58-000B-43B9-B52A-07DECADECD6A}" sibTransId="{2994DABD-C372-4318-A802-B300BC98A22D}"/>
    <dgm:cxn modelId="{32A50287-30F1-4C9F-8B28-0BFF9AD6EFC8}" type="presParOf" srcId="{CE481298-A445-4605-BC5D-50C7A6970456}" destId="{B7ED9AAF-DD2D-42B7-BDA1-8AB00F63A2F1}" srcOrd="0" destOrd="0" presId="urn:microsoft.com/office/officeart/2005/8/layout/pyramid3"/>
    <dgm:cxn modelId="{FF7C89AE-2884-4BFF-A941-42F25964F281}" type="presParOf" srcId="{B7ED9AAF-DD2D-42B7-BDA1-8AB00F63A2F1}" destId="{B62EFA35-B0FF-4479-A0FA-B7A535D9A843}" srcOrd="0" destOrd="0" presId="urn:microsoft.com/office/officeart/2005/8/layout/pyramid3"/>
    <dgm:cxn modelId="{A8C7B4CC-6DD7-4EB5-BD2C-A4474A7A8A5A}" type="presParOf" srcId="{B7ED9AAF-DD2D-42B7-BDA1-8AB00F63A2F1}" destId="{07C8F99E-2435-4BCA-ADE1-547ED29F332C}" srcOrd="1" destOrd="0" presId="urn:microsoft.com/office/officeart/2005/8/layout/pyramid3"/>
    <dgm:cxn modelId="{5DA6E13C-4B4A-4254-B278-465C1694E2B1}" type="presParOf" srcId="{CE481298-A445-4605-BC5D-50C7A6970456}" destId="{49C00163-7729-4032-9B45-B953C1047948}" srcOrd="1" destOrd="0" presId="urn:microsoft.com/office/officeart/2005/8/layout/pyramid3"/>
    <dgm:cxn modelId="{D112FE4A-12F9-41AC-AF2C-9C372CE6AFC3}" type="presParOf" srcId="{49C00163-7729-4032-9B45-B953C1047948}" destId="{AE08870E-0A01-403C-9607-AF86B5164242}" srcOrd="0" destOrd="0" presId="urn:microsoft.com/office/officeart/2005/8/layout/pyramid3"/>
    <dgm:cxn modelId="{09BD6C57-6171-4F7E-BECD-0C643C2738A3}" type="presParOf" srcId="{49C00163-7729-4032-9B45-B953C1047948}" destId="{ABFFDAD3-E661-448F-BA51-0921185AF1E3}" srcOrd="1" destOrd="0" presId="urn:microsoft.com/office/officeart/2005/8/layout/pyramid3"/>
    <dgm:cxn modelId="{2BCAA1F6-CB26-4570-8167-D48D80617C2F}" type="presParOf" srcId="{CE481298-A445-4605-BC5D-50C7A6970456}" destId="{EAD59F83-6F2A-4431-8661-522F878AD2BF}" srcOrd="2" destOrd="0" presId="urn:microsoft.com/office/officeart/2005/8/layout/pyramid3"/>
    <dgm:cxn modelId="{811D4121-F530-4567-A314-4C8F9D59362F}" type="presParOf" srcId="{EAD59F83-6F2A-4431-8661-522F878AD2BF}" destId="{E6B78E14-5C19-4781-A5A4-662D7A247799}" srcOrd="0" destOrd="0" presId="urn:microsoft.com/office/officeart/2005/8/layout/pyramid3"/>
    <dgm:cxn modelId="{A24191AF-4534-4A5C-9DEF-64A36AD00145}" type="presParOf" srcId="{EAD59F83-6F2A-4431-8661-522F878AD2BF}" destId="{25698F64-EA4E-4D88-AAEC-B151EEB6860B}" srcOrd="1" destOrd="0" presId="urn:microsoft.com/office/officeart/2005/8/layout/pyramid3"/>
    <dgm:cxn modelId="{EA542E80-1095-4CE9-8ADA-AB12C366ED22}" type="presParOf" srcId="{CE481298-A445-4605-BC5D-50C7A6970456}" destId="{F310922D-2CB0-4515-8F3A-8190D832BEEB}" srcOrd="3" destOrd="0" presId="urn:microsoft.com/office/officeart/2005/8/layout/pyramid3"/>
    <dgm:cxn modelId="{8B6DA1E1-A869-4EC6-8220-15779ED4D828}" type="presParOf" srcId="{F310922D-2CB0-4515-8F3A-8190D832BEEB}" destId="{72E973F9-EF01-445E-B21B-96E9C42F5737}" srcOrd="0" destOrd="0" presId="urn:microsoft.com/office/officeart/2005/8/layout/pyramid3"/>
    <dgm:cxn modelId="{4423333E-3793-41D5-A9D1-260FCE538504}" type="presParOf" srcId="{F310922D-2CB0-4515-8F3A-8190D832BEEB}" destId="{E602160D-4C37-4773-A2B9-F6E59215F7A0}" srcOrd="1" destOrd="0" presId="urn:microsoft.com/office/officeart/2005/8/layout/pyramid3"/>
    <dgm:cxn modelId="{AE11DDF2-010A-4343-BB34-DCA4338952E9}" type="presParOf" srcId="{CE481298-A445-4605-BC5D-50C7A6970456}" destId="{C874D182-19FF-4BF3-A7D8-3E2DFEF540D2}" srcOrd="4" destOrd="0" presId="urn:microsoft.com/office/officeart/2005/8/layout/pyramid3"/>
    <dgm:cxn modelId="{F1E9A61A-C41E-4C3C-B3B7-8345795EF3C2}" type="presParOf" srcId="{C874D182-19FF-4BF3-A7D8-3E2DFEF540D2}" destId="{4548CFBD-997A-49D7-BA57-8E2D539ECFDA}" srcOrd="0" destOrd="0" presId="urn:microsoft.com/office/officeart/2005/8/layout/pyramid3"/>
    <dgm:cxn modelId="{85CD1416-2958-4C6A-B057-2CD3DF8D933F}" type="presParOf" srcId="{C874D182-19FF-4BF3-A7D8-3E2DFEF540D2}" destId="{68E7201E-79AA-476A-BBA7-EDB13C67E491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2EFA35-B0FF-4479-A0FA-B7A535D9A843}">
      <dsp:nvSpPr>
        <dsp:cNvPr id="0" name=""/>
        <dsp:cNvSpPr/>
      </dsp:nvSpPr>
      <dsp:spPr>
        <a:xfrm rot="10800000">
          <a:off x="0" y="0"/>
          <a:ext cx="5676406" cy="733424"/>
        </a:xfrm>
        <a:prstGeom prst="trapezoid">
          <a:avLst>
            <a:gd name="adj" fmla="val 77396"/>
          </a:avLst>
        </a:prstGeom>
        <a:solidFill>
          <a:schemeClr val="accen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10 mld.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schválené HaVK a zámery NP + alokácia pre samosprávu v rámci IÚI</a:t>
          </a:r>
        </a:p>
      </dsp:txBody>
      <dsp:txXfrm rot="-10800000">
        <a:off x="993371" y="0"/>
        <a:ext cx="3689663" cy="733424"/>
      </dsp:txXfrm>
    </dsp:sp>
    <dsp:sp modelId="{AE08870E-0A01-403C-9607-AF86B5164242}">
      <dsp:nvSpPr>
        <dsp:cNvPr id="0" name=""/>
        <dsp:cNvSpPr/>
      </dsp:nvSpPr>
      <dsp:spPr>
        <a:xfrm rot="10800000">
          <a:off x="567640" y="733425"/>
          <a:ext cx="4541124" cy="733424"/>
        </a:xfrm>
        <a:prstGeom prst="trapezoid">
          <a:avLst>
            <a:gd name="adj" fmla="val 77396"/>
          </a:avLst>
        </a:prstGeom>
        <a:solidFill>
          <a:schemeClr val="accent2">
            <a:alpha val="90000"/>
            <a:hueOff val="0"/>
            <a:satOff val="0"/>
            <a:lumOff val="0"/>
            <a:alphaOff val="-1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3,40 mld.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predložené výzvy na posúdenie na RO</a:t>
          </a:r>
        </a:p>
      </dsp:txBody>
      <dsp:txXfrm rot="-10800000">
        <a:off x="1362337" y="733425"/>
        <a:ext cx="2951731" cy="733424"/>
      </dsp:txXfrm>
    </dsp:sp>
    <dsp:sp modelId="{E6B78E14-5C19-4781-A5A4-662D7A247799}">
      <dsp:nvSpPr>
        <dsp:cNvPr id="0" name=""/>
        <dsp:cNvSpPr/>
      </dsp:nvSpPr>
      <dsp:spPr>
        <a:xfrm rot="10800000">
          <a:off x="1135281" y="1466850"/>
          <a:ext cx="3405843" cy="733424"/>
        </a:xfrm>
        <a:prstGeom prst="trapezoid">
          <a:avLst>
            <a:gd name="adj" fmla="val 77396"/>
          </a:avLst>
        </a:prstGeom>
        <a:solidFill>
          <a:schemeClr val="accent2">
            <a:alpha val="90000"/>
            <a:hueOff val="0"/>
            <a:satOff val="0"/>
            <a:lumOff val="0"/>
            <a:alphaOff val="-2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2,66 mld.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posúdené výzvy zo strany RO</a:t>
          </a:r>
        </a:p>
      </dsp:txBody>
      <dsp:txXfrm rot="-10800000">
        <a:off x="1731303" y="1466850"/>
        <a:ext cx="2213798" cy="733424"/>
      </dsp:txXfrm>
    </dsp:sp>
    <dsp:sp modelId="{72E973F9-EF01-445E-B21B-96E9C42F5737}">
      <dsp:nvSpPr>
        <dsp:cNvPr id="0" name=""/>
        <dsp:cNvSpPr/>
      </dsp:nvSpPr>
      <dsp:spPr>
        <a:xfrm rot="10800000">
          <a:off x="1702921" y="2200274"/>
          <a:ext cx="2270562" cy="733424"/>
        </a:xfrm>
        <a:prstGeom prst="trapezoid">
          <a:avLst>
            <a:gd name="adj" fmla="val 77396"/>
          </a:avLst>
        </a:prstGeom>
        <a:solidFill>
          <a:schemeClr val="accent2">
            <a:alpha val="90000"/>
            <a:hueOff val="0"/>
            <a:satOff val="0"/>
            <a:lumOff val="0"/>
            <a:alphaOff val="-3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2,54 mld.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vyhlásené výzvy</a:t>
          </a:r>
        </a:p>
      </dsp:txBody>
      <dsp:txXfrm rot="-10800000">
        <a:off x="2100270" y="2200274"/>
        <a:ext cx="1475865" cy="733424"/>
      </dsp:txXfrm>
    </dsp:sp>
    <dsp:sp modelId="{4548CFBD-997A-49D7-BA57-8E2D539ECFDA}">
      <dsp:nvSpPr>
        <dsp:cNvPr id="0" name=""/>
        <dsp:cNvSpPr/>
      </dsp:nvSpPr>
      <dsp:spPr>
        <a:xfrm rot="10800000">
          <a:off x="2270562" y="2933699"/>
          <a:ext cx="1135281" cy="733424"/>
        </a:xfrm>
        <a:prstGeom prst="trapezoid">
          <a:avLst>
            <a:gd name="adj" fmla="val 77396"/>
          </a:avLst>
        </a:prstGeom>
        <a:solidFill>
          <a:schemeClr val="accent2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72000" rIns="13970" bIns="13970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949 mil. EUR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100" kern="1200"/>
            <a:t>projekty</a:t>
          </a:r>
        </a:p>
      </dsp:txBody>
      <dsp:txXfrm rot="-10800000">
        <a:off x="2270562" y="2933699"/>
        <a:ext cx="1135281" cy="7334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8A1FD92-76FA-45BB-BAB3-5110E807FC90}">
  <we:reference id="wa104099688" version="1.3.0.0" store="sk-SK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8CFD-8758-4581-B4D4-617E65322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16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OMH</dc:creator>
  <cp:keywords/>
  <dc:description/>
  <cp:lastModifiedBy>Tišťan, Marek</cp:lastModifiedBy>
  <cp:revision>24</cp:revision>
  <cp:lastPrinted>2023-11-27T14:50:00Z</cp:lastPrinted>
  <dcterms:created xsi:type="dcterms:W3CDTF">2024-02-16T08:02:00Z</dcterms:created>
  <dcterms:modified xsi:type="dcterms:W3CDTF">2024-02-16T14:25:00Z</dcterms:modified>
</cp:coreProperties>
</file>