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8A" w:rsidRDefault="0011558A" w:rsidP="0011558A">
      <w:pPr>
        <w:jc w:val="center"/>
        <w:rPr>
          <w:b/>
        </w:rPr>
      </w:pPr>
      <w:bookmarkStart w:id="0" w:name="_Toc404872046"/>
      <w:bookmarkStart w:id="1" w:name="_Toc404872121"/>
      <w:bookmarkStart w:id="2" w:name="_GoBack"/>
      <w:bookmarkEnd w:id="2"/>
      <w:r>
        <w:rPr>
          <w:b/>
        </w:rPr>
        <w:t>Úrad vlády Slovenskej republiky</w:t>
      </w:r>
    </w:p>
    <w:p w:rsidR="0011558A" w:rsidRDefault="0011558A" w:rsidP="0011558A">
      <w:pPr>
        <w:jc w:val="center"/>
        <w:rPr>
          <w:b/>
        </w:rPr>
      </w:pPr>
      <w:r>
        <w:rPr>
          <w:b/>
        </w:rPr>
        <w:t>Riadiaci orgán pre operačný program Technická pomoc</w:t>
      </w:r>
    </w:p>
    <w:p w:rsidR="0011558A" w:rsidRDefault="0011558A" w:rsidP="0011558A">
      <w:pPr>
        <w:jc w:val="center"/>
        <w:rPr>
          <w:b/>
          <w:szCs w:val="22"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7F0AD4">
      <w:pPr>
        <w:tabs>
          <w:tab w:val="center" w:pos="4680"/>
          <w:tab w:val="right" w:pos="9000"/>
        </w:tabs>
        <w:rPr>
          <w:lang w:eastAsia="cs-CZ"/>
        </w:rPr>
      </w:pPr>
      <w:r>
        <w:rPr>
          <w:noProof/>
        </w:rPr>
        <w:drawing>
          <wp:inline distT="0" distB="0" distL="0" distR="0" wp14:anchorId="2C53CD50" wp14:editId="25F84B68">
            <wp:extent cx="1104900" cy="742950"/>
            <wp:effectExtent l="0" t="0" r="0" b="0"/>
            <wp:docPr id="3" name="Obrázok 3" descr="Popis: Popis: Popis: Popis: Popis: Popis: Popis: Popis: Popis: Popis: Popis: Popis: Popis: Popis: Popis: Popis: Popis: Popis: Popis: Popis: Popis: Popis: Popis: Popis: EU_logo cmyk 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2" descr="Popis: Popis: Popis: Popis: Popis: Popis: Popis: Popis: Popis: Popis: Popis: Popis: Popis: Popis: Popis: Popis: Popis: Popis: Popis: Popis: Popis: Popis: Popis: Popis: EU_logo cmyk 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AD4">
        <w:rPr>
          <w:lang w:eastAsia="cs-CZ"/>
        </w:rPr>
        <w:t xml:space="preserve">                            </w:t>
      </w:r>
      <w:r>
        <w:rPr>
          <w:noProof/>
        </w:rPr>
        <w:drawing>
          <wp:inline distT="0" distB="0" distL="0" distR="0" wp14:anchorId="4171AA59" wp14:editId="40A102CE">
            <wp:extent cx="1190625" cy="74295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AD4">
        <w:rPr>
          <w:b/>
          <w:noProof/>
        </w:rPr>
        <w:t xml:space="preserve">                        </w:t>
      </w:r>
      <w:r w:rsidR="007F0AD4">
        <w:rPr>
          <w:b/>
          <w:noProof/>
        </w:rPr>
        <w:drawing>
          <wp:inline distT="0" distB="0" distL="0" distR="0" wp14:anchorId="7BF576F1" wp14:editId="12E10127">
            <wp:extent cx="1457325" cy="657225"/>
            <wp:effectExtent l="0" t="0" r="9525" b="9525"/>
            <wp:docPr id="1" name="Obrázok 1" descr="Popis: Popis: Popis: Popis: Popis: Popis: Popis: Popis: Popis: Popis: Popis: Popis: Popis: Popis: Popis: Popis: Popis: Popis: Popis: Popis: Popis: Popis: Popis: X:\Nam_1_maja\3240 ORIOPTP\624\OPTP\sasa\logá\OPTP_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 descr="Popis: Popis: Popis: Popis: Popis: Popis: Popis: Popis: Popis: Popis: Popis: Popis: Popis: Popis: Popis: Popis: Popis: Popis: Popis: Popis: Popis: Popis: Popis: X:\Nam_1_maja\3240 ORIOPTP\624\OPTP\sasa\logá\OPTP_logo_CO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58A" w:rsidRDefault="0011558A" w:rsidP="0011558A">
      <w:pPr>
        <w:jc w:val="center"/>
        <w:rPr>
          <w:b/>
          <w:lang w:eastAsia="cs-CZ"/>
        </w:rPr>
      </w:pPr>
    </w:p>
    <w:p w:rsidR="0011558A" w:rsidRDefault="0011558A" w:rsidP="0011558A">
      <w:pPr>
        <w:jc w:val="center"/>
        <w:rPr>
          <w:b/>
          <w:lang w:eastAsia="cs-CZ"/>
        </w:rPr>
      </w:pPr>
    </w:p>
    <w:p w:rsidR="0011558A" w:rsidRDefault="0011558A" w:rsidP="0011558A">
      <w:pPr>
        <w:jc w:val="center"/>
        <w:rPr>
          <w:b/>
          <w:lang w:eastAsia="cs-CZ"/>
        </w:rPr>
      </w:pPr>
    </w:p>
    <w:p w:rsidR="0011558A" w:rsidRDefault="0011558A" w:rsidP="0011558A">
      <w:pPr>
        <w:jc w:val="center"/>
        <w:rPr>
          <w:b/>
          <w:szCs w:val="22"/>
          <w:lang w:eastAsia="en-US"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rFonts w:ascii="MS Mincho" w:eastAsia="MS Mincho" w:hAnsi="MS Mincho" w:cs="MS Mincho"/>
          <w:b/>
          <w:sz w:val="36"/>
          <w:szCs w:val="36"/>
        </w:rPr>
      </w:pPr>
      <w:r>
        <w:rPr>
          <w:b/>
          <w:sz w:val="36"/>
          <w:szCs w:val="36"/>
        </w:rPr>
        <w:t>Výročná správa o vykonávaní</w:t>
      </w:r>
      <w:r>
        <w:rPr>
          <w:rFonts w:ascii="MS Mincho" w:eastAsia="MS Mincho" w:hAnsi="MS Mincho" w:cs="MS Mincho" w:hint="eastAsia"/>
          <w:b/>
          <w:sz w:val="36"/>
          <w:szCs w:val="36"/>
        </w:rPr>
        <w:t> </w:t>
      </w:r>
    </w:p>
    <w:p w:rsidR="00D55989" w:rsidRDefault="0011558A" w:rsidP="001155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operačného programu Technická pomoc </w:t>
      </w:r>
    </w:p>
    <w:p w:rsidR="00D55989" w:rsidRDefault="0011558A" w:rsidP="001155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pre programové obdobie 2014 – 2020 </w:t>
      </w:r>
    </w:p>
    <w:p w:rsidR="00620E45" w:rsidRDefault="0011558A" w:rsidP="00620E4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 rok 201</w:t>
      </w:r>
      <w:r w:rsidR="00DE3418">
        <w:rPr>
          <w:b/>
          <w:sz w:val="36"/>
          <w:szCs w:val="36"/>
        </w:rPr>
        <w:t>6</w:t>
      </w:r>
    </w:p>
    <w:p w:rsidR="0011558A" w:rsidRDefault="0011558A" w:rsidP="0011558A">
      <w:pPr>
        <w:jc w:val="center"/>
        <w:rPr>
          <w:b/>
          <w:szCs w:val="22"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757504" w:rsidRDefault="00757504" w:rsidP="0011558A">
      <w:pPr>
        <w:jc w:val="center"/>
        <w:rPr>
          <w:b/>
        </w:rPr>
      </w:pPr>
    </w:p>
    <w:p w:rsidR="00757504" w:rsidRDefault="00757504" w:rsidP="0011558A">
      <w:pPr>
        <w:jc w:val="center"/>
        <w:rPr>
          <w:b/>
        </w:rPr>
      </w:pPr>
    </w:p>
    <w:p w:rsidR="00757504" w:rsidRDefault="00757504" w:rsidP="0011558A">
      <w:pPr>
        <w:jc w:val="center"/>
        <w:rPr>
          <w:b/>
        </w:rPr>
      </w:pPr>
    </w:p>
    <w:p w:rsidR="00757504" w:rsidRDefault="00757504" w:rsidP="0011558A">
      <w:pPr>
        <w:jc w:val="center"/>
        <w:rPr>
          <w:b/>
        </w:rPr>
      </w:pPr>
    </w:p>
    <w:p w:rsidR="00757504" w:rsidRDefault="00757504" w:rsidP="0011558A">
      <w:pPr>
        <w:jc w:val="center"/>
        <w:rPr>
          <w:b/>
        </w:rPr>
      </w:pPr>
    </w:p>
    <w:p w:rsidR="00757504" w:rsidRDefault="00757504" w:rsidP="0011558A">
      <w:pPr>
        <w:jc w:val="center"/>
        <w:rPr>
          <w:b/>
        </w:rPr>
      </w:pPr>
    </w:p>
    <w:p w:rsidR="00757504" w:rsidRDefault="00757504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</w:p>
    <w:p w:rsidR="0011558A" w:rsidRDefault="0011558A" w:rsidP="0011558A">
      <w:pPr>
        <w:jc w:val="center"/>
        <w:rPr>
          <w:b/>
        </w:rPr>
      </w:pPr>
      <w:r>
        <w:rPr>
          <w:b/>
        </w:rPr>
        <w:t xml:space="preserve">Bratislava, </w:t>
      </w:r>
      <w:r w:rsidR="006E1760">
        <w:rPr>
          <w:b/>
        </w:rPr>
        <w:t>máj</w:t>
      </w:r>
      <w:r>
        <w:rPr>
          <w:b/>
        </w:rPr>
        <w:t xml:space="preserve"> 201</w:t>
      </w:r>
      <w:r w:rsidR="00DE3418">
        <w:rPr>
          <w:b/>
        </w:rPr>
        <w:t>7</w:t>
      </w:r>
    </w:p>
    <w:p w:rsidR="0011558A" w:rsidRDefault="0011558A" w:rsidP="0011558A">
      <w:pPr>
        <w:rPr>
          <w:b/>
        </w:rPr>
      </w:pPr>
      <w:r>
        <w:rPr>
          <w:b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004741171"/>
        <w:docPartObj>
          <w:docPartGallery w:val="Table of Contents"/>
          <w:docPartUnique/>
        </w:docPartObj>
      </w:sdtPr>
      <w:sdtEndPr/>
      <w:sdtContent>
        <w:p w:rsidR="00C936F2" w:rsidRPr="00AA7D81" w:rsidRDefault="00C936F2" w:rsidP="00C936F2">
          <w:pPr>
            <w:pStyle w:val="Hlavikaobsahu"/>
            <w:rPr>
              <w:rFonts w:ascii="Times New Roman" w:hAnsi="Times New Roman" w:cs="Times New Roman"/>
            </w:rPr>
          </w:pPr>
          <w:r w:rsidRPr="00AA7D81">
            <w:rPr>
              <w:rFonts w:ascii="Times New Roman" w:hAnsi="Times New Roman" w:cs="Times New Roman"/>
            </w:rPr>
            <w:t>Obsah</w:t>
          </w:r>
        </w:p>
        <w:p w:rsidR="00C936F2" w:rsidRPr="00AA7D81" w:rsidRDefault="00C936F2" w:rsidP="00C936F2"/>
        <w:p w:rsidR="00111A92" w:rsidRDefault="00C936F2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  <w:lang w:eastAsia="sk-SK"/>
            </w:rPr>
          </w:pPr>
          <w:r w:rsidRPr="00AA7D81">
            <w:fldChar w:fldCharType="begin"/>
          </w:r>
          <w:r w:rsidRPr="00AA7D81">
            <w:instrText xml:space="preserve"> TOC \o "1-5" \h \z \u </w:instrText>
          </w:r>
          <w:r w:rsidRPr="00AA7D81">
            <w:fldChar w:fldCharType="separate"/>
          </w:r>
          <w:hyperlink w:anchor="_Toc482173536" w:history="1">
            <w:r w:rsidR="00111A92" w:rsidRPr="00AF0BA2">
              <w:rPr>
                <w:rStyle w:val="Hypertextovprepojenie"/>
              </w:rPr>
              <w:t>Výročná správa o vykonávaní operačného programu Technická pomoc pre programové obdobie 2014 – 2020 v rámci cieľa Investovanie do rastu a zamestnanosti  (cieľ 1)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_Toc482173536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4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37" w:history="1">
            <w:r w:rsidR="00111A92" w:rsidRPr="00AF0BA2">
              <w:rPr>
                <w:rStyle w:val="Hypertextovprepojenie"/>
                <w:noProof/>
              </w:rPr>
              <w:t xml:space="preserve">Časť A  - Informácie predkladané každý rok (článok 50 (2) </w:t>
            </w:r>
            <w:r w:rsidR="00111A92" w:rsidRPr="00AF0BA2">
              <w:rPr>
                <w:rStyle w:val="Hypertextovprepojenie"/>
                <w:rFonts w:eastAsiaTheme="minorHAnsi"/>
                <w:noProof/>
              </w:rPr>
              <w:t>nariadenia EP a Rady (EÚ) č. 1303/2013)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_Toc482173537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4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4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</w:rPr>
          </w:pPr>
          <w:hyperlink w:anchor="_Toc482173538" w:history="1">
            <w:r w:rsidR="00111A92" w:rsidRPr="00AF0BA2">
              <w:rPr>
                <w:rStyle w:val="Hypertextovprepojenie"/>
              </w:rPr>
              <w:t>I.1. Identifikácia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_Toc482173538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4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4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</w:rPr>
          </w:pPr>
          <w:hyperlink w:anchor="_Toc482173539" w:history="1">
            <w:r w:rsidR="00111A92" w:rsidRPr="00AF0BA2">
              <w:rPr>
                <w:rStyle w:val="Hypertextovprepojenie"/>
              </w:rPr>
              <w:t xml:space="preserve">I.2. </w:t>
            </w:r>
            <w:r w:rsidR="00111A92" w:rsidRPr="00AF0BA2">
              <w:rPr>
                <w:rStyle w:val="Hypertextovprepojenie"/>
                <w:rFonts w:eastAsia="EUAlbertina-Regular-Identity-H"/>
                <w:lang w:eastAsia="cs-CZ"/>
              </w:rPr>
              <w:t>Prehľad o vykonávaní programu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_Toc482173539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4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4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</w:rPr>
          </w:pPr>
          <w:hyperlink w:anchor="_Toc482173540" w:history="1">
            <w:r w:rsidR="00111A92" w:rsidRPr="00AF0BA2">
              <w:rPr>
                <w:rStyle w:val="Hypertextovprepojenie"/>
              </w:rPr>
              <w:t>I.3. Implementácia prioritnej osi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_Toc482173540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6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41" w:history="1">
            <w:r w:rsidR="00111A92" w:rsidRPr="00AF0BA2">
              <w:rPr>
                <w:rStyle w:val="Hypertextovprepojenie"/>
                <w:noProof/>
              </w:rPr>
              <w:t>I.3.1 Prehľad o vykonávaní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_Toc482173541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6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42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>I.3.2 Spoločné a programovo špecifické ukazovatele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_Toc482173542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8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43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>I.3.3. Čiastkové ciele a zámery stanovené vo výkonnostnom rámci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_Toc482173543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13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44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>I.3.4 Finančné údaje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_Toc482173544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13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4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</w:rPr>
          </w:pPr>
          <w:hyperlink w:anchor="_Toc482173545" w:history="1">
            <w:r w:rsidR="00111A92" w:rsidRPr="00AF0BA2">
              <w:rPr>
                <w:rStyle w:val="Hypertextovprepojenie"/>
                <w:rFonts w:eastAsiaTheme="minorHAnsi"/>
                <w:lang w:eastAsia="en-US"/>
              </w:rPr>
              <w:t>I.4. Zhrnutie hodnotení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_Toc482173545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18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4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</w:rPr>
          </w:pPr>
          <w:hyperlink w:anchor="_Toc482173546" w:history="1">
            <w:r w:rsidR="00111A92" w:rsidRPr="00AF0BA2">
              <w:rPr>
                <w:rStyle w:val="Hypertextovprepojenie"/>
                <w:rFonts w:eastAsiaTheme="minorHAnsi"/>
                <w:lang w:eastAsia="en-US"/>
              </w:rPr>
              <w:t>I.5. Informácia o realizovaní IZM, ak je relevantné (článok 19 (2) a 19 (4) nariadenia </w:t>
            </w:r>
            <w:r w:rsidR="00111A92" w:rsidRPr="00AF0BA2">
              <w:rPr>
                <w:rStyle w:val="Hypertextovprepojenie"/>
                <w:rFonts w:eastAsiaTheme="minorHAnsi"/>
              </w:rPr>
              <w:t xml:space="preserve">EP a Rady (EÚ) </w:t>
            </w:r>
            <w:r w:rsidR="00111A92" w:rsidRPr="00AF0BA2">
              <w:rPr>
                <w:rStyle w:val="Hypertextovprepojenie"/>
                <w:rFonts w:eastAsiaTheme="minorHAnsi"/>
                <w:lang w:eastAsia="en-US"/>
              </w:rPr>
              <w:t>č. 1304/2013)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_Toc482173546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19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4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</w:rPr>
          </w:pPr>
          <w:hyperlink w:anchor="_Toc482173547" w:history="1">
            <w:r w:rsidR="00111A92" w:rsidRPr="00AF0BA2">
              <w:rPr>
                <w:rStyle w:val="Hypertextovprepojenie"/>
                <w:rFonts w:eastAsiaTheme="minorHAnsi"/>
              </w:rPr>
              <w:t>I.6. Problémy, ktoré ovplyvňujú výkonnosť programu a prijaté opatrenia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_Toc482173547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19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4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</w:rPr>
          </w:pPr>
          <w:hyperlink w:anchor="_Toc482173548" w:history="1">
            <w:r w:rsidR="00111A92" w:rsidRPr="00AF0BA2">
              <w:rPr>
                <w:rStyle w:val="Hypertextovprepojenie"/>
                <w:rFonts w:eastAsiaTheme="minorHAnsi"/>
              </w:rPr>
              <w:t>I.7. Zhrnutie pre občanov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_Toc482173548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20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4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</w:rPr>
          </w:pPr>
          <w:hyperlink w:anchor="_Toc482173549" w:history="1">
            <w:r w:rsidR="00111A92" w:rsidRPr="00AF0BA2">
              <w:rPr>
                <w:rStyle w:val="Hypertextovprepojenie"/>
                <w:rFonts w:eastAsiaTheme="minorHAnsi"/>
              </w:rPr>
              <w:t>I.8. Správa o vykonávaní finančných nástrojov (článok 46 nariadenia EP a Rady (EÚ) č. 1303/2013)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_Toc482173549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20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4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</w:rPr>
          </w:pPr>
          <w:hyperlink w:anchor="_Toc482173550" w:history="1">
            <w:r w:rsidR="00111A92" w:rsidRPr="00AF0BA2">
              <w:rPr>
                <w:rStyle w:val="Hypertextovprepojenie"/>
              </w:rPr>
              <w:t>I.9. Opatrenia prijaté na splnenie ex-ante kondicionalít (článok 50 (2) nariadenia EP a Rady (EÚ) č. 1303/2013)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_Toc482173550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20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51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>ČASŤ B - Informácie uvádzané vo výročnej správe predkladanej v roku 2017, 2019 a v záverečnej správe (článok 50 (4) a 111(3) a (4) nariadenia EP a Rady (EÚ) č. 1303/2013 a 14 (4) nariadenia EP a Rady (EÚ)  č. 1299/2013)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_Toc482173551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21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4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</w:rPr>
          </w:pPr>
          <w:hyperlink w:anchor="_Toc482173552" w:history="1">
            <w:r w:rsidR="00111A92" w:rsidRPr="00AF0BA2">
              <w:rPr>
                <w:rStyle w:val="Hypertextovprepojenie"/>
                <w:rFonts w:eastAsiaTheme="minorHAnsi"/>
              </w:rPr>
              <w:t>I.11. Zhodnotenie vykonávania programu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_Toc482173552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21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53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>I.11.1 Informácie obsiahnuté v časti A doplnené o zhodnotenie dosahovania cieľov programu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_Toc482173553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21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54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>I.11.2 Osobitné opatrenia prijaté s cieľom podporovať rovnosť mužov a žien a predchádzať diskriminácii, najmä zabezpečenie prístupu pre osoby so zdravotným postihnutím, a opatrenia vykonané na zabezpečenie začlenenia hľadiska rodovej rovnosti do operačného programu a projektov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_Toc482173554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24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55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>I.11.3 Udržateľný rozvoj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_Toc482173555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24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56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>I.11.4 Podpora použitá na ciele súvisiace so zmenou klímy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_Toc482173556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26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57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>I.11.5 Úloha partnerov pri vykonávaní programu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_Toc482173557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26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4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</w:rPr>
          </w:pPr>
          <w:hyperlink w:anchor="_Toc482173558" w:history="1">
            <w:r w:rsidR="00111A92" w:rsidRPr="00AF0BA2">
              <w:rPr>
                <w:rStyle w:val="Hypertextovprepojenie"/>
                <w:rFonts w:eastAsiaTheme="minorHAnsi"/>
              </w:rPr>
              <w:t>I.12.  Povinné informácie a posúdenia podľa článku 111 (4) §1, (a) a (b) nariadenia EP a Rady (EÚ) č. 1303/2013 a článku 14 (4) §1, (a) a (b) nariadenia EP a Rady (EÚ)  č. 1299/2013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_Toc482173558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26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59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>I.12.2 Výsledky opatrení fondov na informovanie a publicitu realizovaných v rámci komunikačnej stratégie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_Toc482173559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27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4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</w:rPr>
          </w:pPr>
          <w:hyperlink w:anchor="_Toc482173560" w:history="1">
            <w:r w:rsidR="00111A92" w:rsidRPr="00AF0BA2">
              <w:rPr>
                <w:rStyle w:val="Hypertextovprepojenie"/>
                <w:rFonts w:eastAsiaTheme="minorHAnsi"/>
              </w:rPr>
              <w:t xml:space="preserve">I.13. </w:t>
            </w:r>
            <w:r w:rsidR="00111A92" w:rsidRPr="00AF0BA2">
              <w:rPr>
                <w:rStyle w:val="Hypertextovprepojenie"/>
                <w:rFonts w:eastAsiaTheme="minorHAnsi"/>
                <w:lang w:eastAsia="en-US"/>
              </w:rPr>
              <w:t>Opatrenia prijaté na splnenie ex ante kondicionalít</w:t>
            </w:r>
            <w:r w:rsidR="00111A92" w:rsidRPr="00AF0BA2">
              <w:rPr>
                <w:rStyle w:val="Hypertextovprepojenie"/>
                <w:rFonts w:eastAsiaTheme="minorHAnsi"/>
              </w:rPr>
              <w:t xml:space="preserve"> na základe článku 50 (4) nariadenia EP a Rady (EÚ) č. 1303/2013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_Toc482173560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28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4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</w:rPr>
          </w:pPr>
          <w:hyperlink w:anchor="_Toc482173561" w:history="1">
            <w:r w:rsidR="00111A92" w:rsidRPr="00AF0BA2">
              <w:rPr>
                <w:rStyle w:val="Hypertextovprepojenie"/>
                <w:rFonts w:eastAsiaTheme="minorHAnsi"/>
                <w:lang w:eastAsia="en-US"/>
              </w:rPr>
              <w:t>Požadované informácie nie sú pre OP TP relevantné.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_Toc482173561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32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4"/>
            <w:rPr>
              <w:rFonts w:asciiTheme="minorHAnsi" w:eastAsiaTheme="minorEastAsia" w:hAnsiTheme="minorHAnsi" w:cstheme="minorBidi"/>
              <w:sz w:val="22"/>
              <w:szCs w:val="22"/>
              <w:shd w:val="clear" w:color="auto" w:fill="auto"/>
            </w:rPr>
          </w:pPr>
          <w:hyperlink w:anchor="_Toc482173562" w:history="1">
            <w:r w:rsidR="00111A92" w:rsidRPr="00AF0BA2">
              <w:rPr>
                <w:rStyle w:val="Hypertextovprepojenie"/>
                <w:rFonts w:eastAsiaTheme="minorHAnsi"/>
              </w:rPr>
              <w:t>I.14. Ďalšie informácie, ktoré sa poskytujú v závislosti  od obsahu a cieľov programu na základe článku 111 (4) §2, (a), (b), (c), (d), (g) a (h) nariadenia EP a Rady (EÚ) č. 1303/2013 a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_Toc482173562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32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63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>I.14.1  Pokrok dosiahnutý pri uplatňovaní integrovaného prístupu k územnému rozvoju vrátane rozvoja regiónov s nepriaznivými demografickými podmienkami a trvalými alebo prírodnými znevýhodneniami, UMR a CLLD podľa programu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_Toc482173563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32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64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>I.14.2  Pokrok pri vykonávaní opatrení na posilnenie kapacity orgánov  členského štátu a prijímateľov na spravovanie a využívanie fondov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_Toc482173564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32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tabs>
              <w:tab w:val="left" w:pos="21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65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 xml:space="preserve">I.14.3 </w:t>
            </w:r>
            <w:r w:rsidR="00111A9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1A92" w:rsidRPr="00AF0BA2">
              <w:rPr>
                <w:rStyle w:val="Hypertextovprepojenie"/>
                <w:rFonts w:eastAsiaTheme="minorHAnsi"/>
                <w:noProof/>
              </w:rPr>
              <w:t>Pokrok dosiahnutý pri vykonávaní všetkých medziregionálnych a nadnárodných opatrení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_Toc482173565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33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tabs>
              <w:tab w:val="left" w:pos="21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66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 xml:space="preserve">I.14.4 </w:t>
            </w:r>
            <w:r w:rsidR="00111A9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1A92" w:rsidRPr="00AF0BA2">
              <w:rPr>
                <w:rStyle w:val="Hypertextovprepojenie"/>
                <w:rFonts w:eastAsiaTheme="minorHAnsi"/>
                <w:noProof/>
              </w:rPr>
              <w:t>Príspevok k makroregionálnym stratégiám a stratégiám pre prímorské oblasti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_Toc482173566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33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tabs>
              <w:tab w:val="left" w:pos="21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67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 xml:space="preserve">I.14.5 </w:t>
            </w:r>
            <w:r w:rsidR="00111A9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1A92" w:rsidRPr="00AF0BA2">
              <w:rPr>
                <w:rStyle w:val="Hypertextovprepojenie"/>
                <w:rFonts w:eastAsiaTheme="minorHAnsi"/>
                <w:noProof/>
              </w:rPr>
              <w:t>Pokrok pri vykonávaní opatrení v oblasti sociálnej inovácie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_Toc482173567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33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5"/>
            <w:tabs>
              <w:tab w:val="left" w:pos="21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68" w:history="1">
            <w:r w:rsidR="00111A92" w:rsidRPr="00AF0BA2">
              <w:rPr>
                <w:rStyle w:val="Hypertextovprepojenie"/>
                <w:rFonts w:eastAsiaTheme="minorHAnsi"/>
                <w:noProof/>
              </w:rPr>
              <w:t xml:space="preserve">I.14.6 </w:t>
            </w:r>
            <w:r w:rsidR="00111A9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11A92" w:rsidRPr="00AF0BA2">
              <w:rPr>
                <w:rStyle w:val="Hypertextovprepojenie"/>
                <w:rFonts w:eastAsiaTheme="minorHAnsi"/>
                <w:noProof/>
              </w:rPr>
              <w:t>Pokrok dosiahnutý pri vykonávaní opatrení na riešenie špecifických potrieb geografických oblastí najviac postihnutých chudobou alebo potrieb cieľových skupín, ktorým najviac hrozí chudoba, diskriminácia alebo sociálne vylúčenie, s osobitným dôrazom na marginalizované komunity a osoby so zdravotným postihnutím, dlhodobú nezamestnanosť a nezamestnanosť mladých ľudí, prípadne vrátene použitých finančných prostriedkov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_Toc482173568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33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111A92" w:rsidRDefault="00FF40F6">
          <w:pPr>
            <w:pStyle w:val="Obsah2"/>
            <w:rPr>
              <w:rFonts w:asciiTheme="minorHAnsi" w:eastAsiaTheme="minorEastAsia" w:hAnsiTheme="minorHAnsi" w:cstheme="minorBidi"/>
              <w:sz w:val="22"/>
              <w:szCs w:val="22"/>
              <w:lang w:eastAsia="sk-SK"/>
            </w:rPr>
          </w:pPr>
          <w:hyperlink w:anchor="_Toc482173569" w:history="1">
            <w:r w:rsidR="00111A92" w:rsidRPr="00AF0BA2">
              <w:rPr>
                <w:rStyle w:val="Hypertextovprepojenie"/>
                <w:rFonts w:eastAsiaTheme="minorHAnsi"/>
              </w:rPr>
              <w:t>Zoznam príloh</w:t>
            </w:r>
            <w:r w:rsidR="00111A92">
              <w:rPr>
                <w:webHidden/>
              </w:rPr>
              <w:tab/>
            </w:r>
            <w:r w:rsidR="00111A92">
              <w:rPr>
                <w:webHidden/>
              </w:rPr>
              <w:fldChar w:fldCharType="begin"/>
            </w:r>
            <w:r w:rsidR="00111A92">
              <w:rPr>
                <w:webHidden/>
              </w:rPr>
              <w:instrText xml:space="preserve"> PAGEREF _Toc482173569 \h </w:instrText>
            </w:r>
            <w:r w:rsidR="00111A92">
              <w:rPr>
                <w:webHidden/>
              </w:rPr>
            </w:r>
            <w:r w:rsidR="00111A92">
              <w:rPr>
                <w:webHidden/>
              </w:rPr>
              <w:fldChar w:fldCharType="separate"/>
            </w:r>
            <w:r w:rsidR="00111A92">
              <w:rPr>
                <w:webHidden/>
              </w:rPr>
              <w:t>34</w:t>
            </w:r>
            <w:r w:rsidR="00111A92">
              <w:rPr>
                <w:webHidden/>
              </w:rPr>
              <w:fldChar w:fldCharType="end"/>
            </w:r>
          </w:hyperlink>
        </w:p>
        <w:p w:rsidR="00111A92" w:rsidRDefault="00FF40F6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82173570" w:history="1">
            <w:r w:rsidR="00111A92" w:rsidRPr="00AF0BA2">
              <w:rPr>
                <w:rStyle w:val="Hypertextovprepojenie"/>
                <w:noProof/>
              </w:rPr>
              <w:t>Zoznam použitých skratiek</w:t>
            </w:r>
            <w:r w:rsidR="00111A92">
              <w:rPr>
                <w:noProof/>
                <w:webHidden/>
              </w:rPr>
              <w:tab/>
            </w:r>
            <w:r w:rsidR="00111A92">
              <w:rPr>
                <w:noProof/>
                <w:webHidden/>
              </w:rPr>
              <w:fldChar w:fldCharType="begin"/>
            </w:r>
            <w:r w:rsidR="00111A92">
              <w:rPr>
                <w:noProof/>
                <w:webHidden/>
              </w:rPr>
              <w:instrText xml:space="preserve"> PAGEREF _Toc482173570 \h </w:instrText>
            </w:r>
            <w:r w:rsidR="00111A92">
              <w:rPr>
                <w:noProof/>
                <w:webHidden/>
              </w:rPr>
            </w:r>
            <w:r w:rsidR="00111A92">
              <w:rPr>
                <w:noProof/>
                <w:webHidden/>
              </w:rPr>
              <w:fldChar w:fldCharType="separate"/>
            </w:r>
            <w:r w:rsidR="00111A92">
              <w:rPr>
                <w:noProof/>
                <w:webHidden/>
              </w:rPr>
              <w:t>34</w:t>
            </w:r>
            <w:r w:rsidR="00111A92">
              <w:rPr>
                <w:noProof/>
                <w:webHidden/>
              </w:rPr>
              <w:fldChar w:fldCharType="end"/>
            </w:r>
          </w:hyperlink>
        </w:p>
        <w:p w:rsidR="004A0B10" w:rsidRDefault="00C936F2" w:rsidP="00C936F2">
          <w:r w:rsidRPr="00AA7D81">
            <w:fldChar w:fldCharType="end"/>
          </w:r>
        </w:p>
      </w:sdtContent>
    </w:sdt>
    <w:p w:rsidR="004A0B10" w:rsidRPr="004A0B10" w:rsidRDefault="004A0B10" w:rsidP="004A0B10"/>
    <w:p w:rsidR="004A0B10" w:rsidRPr="004A0B10" w:rsidRDefault="004A0B10" w:rsidP="004A0B10"/>
    <w:p w:rsidR="004A0B10" w:rsidRPr="004A0B10" w:rsidRDefault="004A0B10" w:rsidP="004A0B10"/>
    <w:p w:rsidR="004A0B10" w:rsidRPr="004A0B10" w:rsidRDefault="004A0B10" w:rsidP="004A0B10"/>
    <w:p w:rsidR="004A0B10" w:rsidRDefault="004A0B10" w:rsidP="004A0B10"/>
    <w:p w:rsidR="004A0B10" w:rsidRDefault="004A0B10" w:rsidP="004A0B10">
      <w:pPr>
        <w:tabs>
          <w:tab w:val="left" w:pos="8205"/>
        </w:tabs>
      </w:pPr>
      <w:r>
        <w:tab/>
      </w:r>
    </w:p>
    <w:p w:rsidR="004A0B10" w:rsidRDefault="004A0B10" w:rsidP="004A0B10"/>
    <w:p w:rsidR="00C936F2" w:rsidRPr="004A0B10" w:rsidRDefault="00C936F2" w:rsidP="004A0B10">
      <w:pPr>
        <w:sectPr w:rsidR="00C936F2" w:rsidRPr="004A0B10" w:rsidSect="00175EDC">
          <w:headerReference w:type="default" r:id="rId11"/>
          <w:footerReference w:type="default" r:id="rId12"/>
          <w:head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E43DF2" w:rsidRPr="00346397" w:rsidRDefault="00E43DF2" w:rsidP="00E43DF2">
      <w:pPr>
        <w:pStyle w:val="MPCKO1"/>
        <w:jc w:val="both"/>
      </w:pPr>
      <w:bookmarkStart w:id="3" w:name="_Toc448493707"/>
      <w:bookmarkStart w:id="4" w:name="_Toc482173536"/>
      <w:r>
        <w:rPr>
          <w:lang w:eastAsia="en-US"/>
        </w:rPr>
        <w:lastRenderedPageBreak/>
        <w:t xml:space="preserve">Výročná </w:t>
      </w:r>
      <w:r w:rsidRPr="00346397">
        <w:rPr>
          <w:lang w:eastAsia="en-US"/>
        </w:rPr>
        <w:t xml:space="preserve">správa o vykonávaní </w:t>
      </w:r>
      <w:r w:rsidRPr="00E43DF2">
        <w:rPr>
          <w:lang w:eastAsia="en-US"/>
        </w:rPr>
        <w:t>operačného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programu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Technická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pomoc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pre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programové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obdobie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2014</w:t>
      </w:r>
      <w:r w:rsidRPr="00D3199D">
        <w:rPr>
          <w:color w:val="FF0000"/>
          <w:lang w:eastAsia="en-US"/>
        </w:rPr>
        <w:t xml:space="preserve"> </w:t>
      </w:r>
      <w:r w:rsidRPr="00E43DF2">
        <w:rPr>
          <w:lang w:eastAsia="en-US"/>
        </w:rPr>
        <w:t>– 2020</w:t>
      </w:r>
      <w:r w:rsidRPr="00D3199D">
        <w:rPr>
          <w:color w:val="FF0000"/>
          <w:lang w:eastAsia="en-US"/>
        </w:rPr>
        <w:t xml:space="preserve"> </w:t>
      </w:r>
      <w:r w:rsidRPr="00346397">
        <w:rPr>
          <w:lang w:eastAsia="en-US"/>
        </w:rPr>
        <w:t>v rámci cieľa Investovanie do rastu a zamestnanosti  (cieľ 1)</w:t>
      </w:r>
      <w:bookmarkEnd w:id="3"/>
      <w:bookmarkEnd w:id="4"/>
      <w:r w:rsidRPr="00346397">
        <w:rPr>
          <w:lang w:eastAsia="en-US"/>
        </w:rPr>
        <w:t xml:space="preserve"> </w:t>
      </w:r>
    </w:p>
    <w:p w:rsidR="007B58ED" w:rsidRDefault="007B58ED" w:rsidP="007B58ED">
      <w:pPr>
        <w:pStyle w:val="MPCKO2"/>
      </w:pPr>
      <w:bookmarkStart w:id="5" w:name="_Toc482173537"/>
      <w:r>
        <w:t xml:space="preserve">Časť A  - Informácie predkladané každý rok (článok 50 (2) </w:t>
      </w:r>
      <w:r w:rsidR="00FB4D15">
        <w:rPr>
          <w:rFonts w:eastAsiaTheme="minorHAnsi"/>
        </w:rPr>
        <w:t>nariadenia EP a Rady (EÚ)</w:t>
      </w:r>
      <w:r w:rsidR="00DF0808">
        <w:rPr>
          <w:rFonts w:eastAsiaTheme="minorHAnsi"/>
        </w:rPr>
        <w:t> </w:t>
      </w:r>
      <w:r w:rsidR="00FB4D15">
        <w:rPr>
          <w:rFonts w:eastAsiaTheme="minorHAnsi"/>
        </w:rPr>
        <w:t>č. </w:t>
      </w:r>
      <w:r w:rsidRPr="00AA7D81">
        <w:rPr>
          <w:rFonts w:eastAsiaTheme="minorHAnsi"/>
        </w:rPr>
        <w:t>1303/2013</w:t>
      </w:r>
      <w:r>
        <w:rPr>
          <w:rFonts w:eastAsiaTheme="minorHAnsi"/>
        </w:rPr>
        <w:t>)</w:t>
      </w:r>
      <w:bookmarkEnd w:id="5"/>
    </w:p>
    <w:p w:rsidR="007B58ED" w:rsidRPr="00AA7D81" w:rsidRDefault="007B58ED" w:rsidP="007B58ED">
      <w:pPr>
        <w:pStyle w:val="MPCKO3"/>
      </w:pPr>
      <w:bookmarkStart w:id="6" w:name="_Toc482173538"/>
      <w:r>
        <w:t>I.</w:t>
      </w:r>
      <w:r w:rsidRPr="00AA7D81">
        <w:t>1</w:t>
      </w:r>
      <w:r>
        <w:t>.</w:t>
      </w:r>
      <w:r w:rsidRPr="00AA7D81">
        <w:t xml:space="preserve"> </w:t>
      </w:r>
      <w:bookmarkEnd w:id="0"/>
      <w:bookmarkEnd w:id="1"/>
      <w:r w:rsidRPr="00AA7D81">
        <w:t>Identifikácia</w:t>
      </w:r>
      <w:bookmarkEnd w:id="6"/>
    </w:p>
    <w:tbl>
      <w:tblPr>
        <w:tblW w:w="9104" w:type="dxa"/>
        <w:tblInd w:w="10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C6D9F1" w:themeFill="text2" w:themeFillTint="33"/>
        <w:tblLook w:val="01E0" w:firstRow="1" w:lastRow="1" w:firstColumn="1" w:lastColumn="1" w:noHBand="0" w:noVBand="0"/>
      </w:tblPr>
      <w:tblGrid>
        <w:gridCol w:w="3544"/>
        <w:gridCol w:w="5560"/>
      </w:tblGrid>
      <w:tr w:rsidR="007B58ED" w:rsidRPr="000155BC" w:rsidTr="007E18FA">
        <w:tc>
          <w:tcPr>
            <w:tcW w:w="3544" w:type="dxa"/>
            <w:shd w:val="clear" w:color="auto" w:fill="B8CCE4" w:themeFill="accent1" w:themeFillTint="66"/>
          </w:tcPr>
          <w:p w:rsidR="007B58ED" w:rsidRPr="000155BC" w:rsidRDefault="007B58ED" w:rsidP="007E18FA">
            <w:pPr>
              <w:autoSpaceDE w:val="0"/>
              <w:autoSpaceDN w:val="0"/>
              <w:adjustRightInd w:val="0"/>
              <w:rPr>
                <w:rFonts w:eastAsia="EUAlbertina-Regular-Identity-H"/>
                <w:b/>
                <w:lang w:eastAsia="cs-CZ"/>
              </w:rPr>
            </w:pPr>
            <w:r w:rsidRPr="000155BC">
              <w:rPr>
                <w:rFonts w:eastAsia="EUAlbertina-Regular-Identity-H"/>
                <w:b/>
              </w:rPr>
              <w:t>Kód programu (CCI)</w:t>
            </w:r>
          </w:p>
        </w:tc>
        <w:tc>
          <w:tcPr>
            <w:tcW w:w="5560" w:type="dxa"/>
            <w:shd w:val="clear" w:color="auto" w:fill="FFFFFF" w:themeFill="background1"/>
            <w:vAlign w:val="center"/>
          </w:tcPr>
          <w:p w:rsidR="007B58ED" w:rsidRPr="004C5C37" w:rsidRDefault="00A16E28" w:rsidP="007E18FA">
            <w:pPr>
              <w:jc w:val="center"/>
              <w:rPr>
                <w:sz w:val="18"/>
                <w:szCs w:val="18"/>
              </w:rPr>
            </w:pPr>
            <w:r w:rsidRPr="004C5C37">
              <w:rPr>
                <w:sz w:val="18"/>
                <w:szCs w:val="18"/>
              </w:rPr>
              <w:t>2014SK16RFTA001</w:t>
            </w:r>
          </w:p>
        </w:tc>
      </w:tr>
      <w:tr w:rsidR="007B58ED" w:rsidRPr="000155BC" w:rsidTr="007E18FA">
        <w:tc>
          <w:tcPr>
            <w:tcW w:w="3544" w:type="dxa"/>
            <w:shd w:val="clear" w:color="auto" w:fill="B8CCE4" w:themeFill="accent1" w:themeFillTint="66"/>
          </w:tcPr>
          <w:p w:rsidR="007B58ED" w:rsidRPr="000155BC" w:rsidRDefault="007B58ED" w:rsidP="007E18FA">
            <w:pPr>
              <w:autoSpaceDE w:val="0"/>
              <w:autoSpaceDN w:val="0"/>
              <w:adjustRightInd w:val="0"/>
              <w:rPr>
                <w:rFonts w:eastAsia="EUAlbertina-Regular-Identity-H"/>
                <w:b/>
              </w:rPr>
            </w:pPr>
            <w:r w:rsidRPr="000155BC">
              <w:rPr>
                <w:rFonts w:eastAsia="EUAlbertina-Regular-Identity-H"/>
                <w:b/>
              </w:rPr>
              <w:t>Názov programu</w:t>
            </w:r>
          </w:p>
        </w:tc>
        <w:tc>
          <w:tcPr>
            <w:tcW w:w="5560" w:type="dxa"/>
            <w:shd w:val="clear" w:color="auto" w:fill="FFFFFF" w:themeFill="background1"/>
            <w:vAlign w:val="center"/>
          </w:tcPr>
          <w:p w:rsidR="007B58ED" w:rsidRPr="004C5C37" w:rsidRDefault="00F20EC9" w:rsidP="007E18FA">
            <w:pPr>
              <w:jc w:val="center"/>
              <w:rPr>
                <w:sz w:val="18"/>
                <w:szCs w:val="18"/>
              </w:rPr>
            </w:pPr>
            <w:r w:rsidRPr="004C5C37">
              <w:rPr>
                <w:sz w:val="18"/>
                <w:szCs w:val="18"/>
              </w:rPr>
              <w:t>Technická pomoc</w:t>
            </w:r>
          </w:p>
        </w:tc>
      </w:tr>
      <w:tr w:rsidR="007B58ED" w:rsidRPr="000155BC" w:rsidTr="007E18FA">
        <w:tc>
          <w:tcPr>
            <w:tcW w:w="3544" w:type="dxa"/>
            <w:shd w:val="clear" w:color="auto" w:fill="B8CCE4" w:themeFill="accent1" w:themeFillTint="66"/>
          </w:tcPr>
          <w:p w:rsidR="007B58ED" w:rsidRPr="000155BC" w:rsidRDefault="007B58ED" w:rsidP="007E18FA">
            <w:pPr>
              <w:autoSpaceDE w:val="0"/>
              <w:autoSpaceDN w:val="0"/>
              <w:adjustRightInd w:val="0"/>
              <w:rPr>
                <w:rFonts w:eastAsia="EUAlbertina-Regular-Identity-H"/>
                <w:b/>
              </w:rPr>
            </w:pPr>
            <w:r w:rsidRPr="000155BC">
              <w:rPr>
                <w:rFonts w:eastAsia="EUAlbertina-Regular-Identity-H"/>
                <w:b/>
              </w:rPr>
              <w:t>Verzia</w:t>
            </w:r>
          </w:p>
        </w:tc>
        <w:tc>
          <w:tcPr>
            <w:tcW w:w="5560" w:type="dxa"/>
            <w:shd w:val="clear" w:color="auto" w:fill="FFFFFF" w:themeFill="background1"/>
            <w:vAlign w:val="center"/>
          </w:tcPr>
          <w:p w:rsidR="007B58ED" w:rsidRPr="004C5C37" w:rsidRDefault="006416B2" w:rsidP="007E18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7B58ED" w:rsidRPr="000155BC" w:rsidTr="007E18FA">
        <w:tc>
          <w:tcPr>
            <w:tcW w:w="3544" w:type="dxa"/>
            <w:shd w:val="clear" w:color="auto" w:fill="B8CCE4" w:themeFill="accent1" w:themeFillTint="66"/>
          </w:tcPr>
          <w:p w:rsidR="007B58ED" w:rsidRPr="000155BC" w:rsidRDefault="007B58ED" w:rsidP="007E18FA">
            <w:pPr>
              <w:autoSpaceDE w:val="0"/>
              <w:autoSpaceDN w:val="0"/>
              <w:adjustRightInd w:val="0"/>
              <w:rPr>
                <w:rFonts w:eastAsia="EUAlbertina-Regular-Identity-H"/>
                <w:b/>
              </w:rPr>
            </w:pPr>
            <w:r w:rsidRPr="000155BC">
              <w:rPr>
                <w:rFonts w:eastAsia="EUAlbertina-Regular-Identity-H"/>
                <w:b/>
              </w:rPr>
              <w:t>Vykazovaný rok</w:t>
            </w:r>
          </w:p>
        </w:tc>
        <w:tc>
          <w:tcPr>
            <w:tcW w:w="5560" w:type="dxa"/>
            <w:shd w:val="clear" w:color="auto" w:fill="FFFFFF" w:themeFill="background1"/>
            <w:vAlign w:val="center"/>
          </w:tcPr>
          <w:p w:rsidR="00620E45" w:rsidRPr="004C5C37" w:rsidRDefault="00DE3418" w:rsidP="00620E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</w:tr>
      <w:tr w:rsidR="007B58ED" w:rsidRPr="000155BC" w:rsidTr="007E18FA">
        <w:trPr>
          <w:trHeight w:val="759"/>
        </w:trPr>
        <w:tc>
          <w:tcPr>
            <w:tcW w:w="3544" w:type="dxa"/>
            <w:shd w:val="clear" w:color="auto" w:fill="B8CCE4" w:themeFill="accent1" w:themeFillTint="66"/>
          </w:tcPr>
          <w:p w:rsidR="007B58ED" w:rsidRPr="000155BC" w:rsidRDefault="007B58ED" w:rsidP="007E18FA">
            <w:pPr>
              <w:autoSpaceDE w:val="0"/>
              <w:autoSpaceDN w:val="0"/>
              <w:adjustRightInd w:val="0"/>
              <w:rPr>
                <w:rFonts w:eastAsia="EUAlbertina-Regular-Identity-H"/>
                <w:b/>
                <w:lang w:eastAsia="cs-CZ"/>
              </w:rPr>
            </w:pPr>
            <w:r w:rsidRPr="000155BC">
              <w:rPr>
                <w:rFonts w:eastAsia="EUAlbertina-Regular-Identity-H"/>
                <w:b/>
              </w:rPr>
              <w:t>Dátum schválenia výročnej</w:t>
            </w:r>
            <w:r>
              <w:rPr>
                <w:rFonts w:eastAsia="EUAlbertina-Regular-Identity-H"/>
                <w:b/>
              </w:rPr>
              <w:t>/záverečnej</w:t>
            </w:r>
            <w:r w:rsidRPr="000155BC">
              <w:rPr>
                <w:rFonts w:eastAsia="EUAlbertina-Regular-Identity-H"/>
                <w:b/>
              </w:rPr>
              <w:t xml:space="preserve"> správy monitorovacím výborom</w:t>
            </w:r>
          </w:p>
        </w:tc>
        <w:tc>
          <w:tcPr>
            <w:tcW w:w="5560" w:type="dxa"/>
            <w:shd w:val="clear" w:color="auto" w:fill="FFFFFF" w:themeFill="background1"/>
            <w:vAlign w:val="center"/>
          </w:tcPr>
          <w:p w:rsidR="007B58ED" w:rsidRPr="00317E22" w:rsidRDefault="00674438" w:rsidP="007E18FA">
            <w:pPr>
              <w:jc w:val="center"/>
              <w:rPr>
                <w:color w:val="8DB3E2"/>
                <w:sz w:val="18"/>
                <w:szCs w:val="18"/>
              </w:rPr>
            </w:pPr>
            <w:r>
              <w:rPr>
                <w:sz w:val="18"/>
                <w:szCs w:val="18"/>
              </w:rPr>
              <w:t>23. 05. 2017</w:t>
            </w:r>
          </w:p>
        </w:tc>
      </w:tr>
    </w:tbl>
    <w:p w:rsidR="00880311" w:rsidRDefault="007B58ED" w:rsidP="00880311">
      <w:pPr>
        <w:pStyle w:val="MPCKO3"/>
        <w:rPr>
          <w:rFonts w:eastAsia="EUAlbertina-Regular-Identity-H"/>
          <w:lang w:eastAsia="cs-CZ"/>
        </w:rPr>
      </w:pPr>
      <w:bookmarkStart w:id="7" w:name="_Toc482173539"/>
      <w:r>
        <w:t>I.</w:t>
      </w:r>
      <w:r w:rsidRPr="00AA7D81">
        <w:t>2</w:t>
      </w:r>
      <w:r>
        <w:t>.</w:t>
      </w:r>
      <w:r w:rsidRPr="00AA7D81">
        <w:t xml:space="preserve"> </w:t>
      </w:r>
      <w:r w:rsidRPr="00AA7D81">
        <w:rPr>
          <w:rFonts w:eastAsia="EUAlbertina-Regular-Identity-H"/>
          <w:lang w:eastAsia="cs-CZ"/>
        </w:rPr>
        <w:t xml:space="preserve">Prehľad </w:t>
      </w:r>
      <w:r>
        <w:rPr>
          <w:rFonts w:eastAsia="EUAlbertina-Regular-Identity-H"/>
          <w:lang w:eastAsia="cs-CZ"/>
        </w:rPr>
        <w:t>o vykonávaní</w:t>
      </w:r>
      <w:r w:rsidRPr="00AA7D81">
        <w:rPr>
          <w:rFonts w:eastAsia="EUAlbertina-Regular-Identity-H"/>
          <w:lang w:eastAsia="cs-CZ"/>
        </w:rPr>
        <w:t xml:space="preserve"> programu</w:t>
      </w:r>
      <w:bookmarkEnd w:id="7"/>
    </w:p>
    <w:p w:rsidR="00880311" w:rsidRPr="00880311" w:rsidRDefault="00880311" w:rsidP="00880311">
      <w:pPr>
        <w:rPr>
          <w:lang w:eastAsia="cs-CZ"/>
        </w:rPr>
      </w:pPr>
    </w:p>
    <w:p w:rsidR="006D4E66" w:rsidRDefault="00DC7849" w:rsidP="00533E9A">
      <w:pPr>
        <w:autoSpaceDE w:val="0"/>
        <w:autoSpaceDN w:val="0"/>
        <w:adjustRightInd w:val="0"/>
        <w:jc w:val="both"/>
      </w:pPr>
      <w:r>
        <w:t>OP TP</w:t>
      </w:r>
      <w:r w:rsidR="006D4E66" w:rsidRPr="004C5C37">
        <w:t xml:space="preserve"> bol </w:t>
      </w:r>
      <w:r w:rsidR="006D4E66" w:rsidRPr="004C5C37">
        <w:rPr>
          <w:rFonts w:eastAsiaTheme="minorHAnsi"/>
          <w:lang w:eastAsia="en-US"/>
        </w:rPr>
        <w:t>prijatý vykonávacím rozhodnutím Európskej komisie č. C (2014) 9945 zo</w:t>
      </w:r>
      <w:r w:rsidR="006D4E66">
        <w:rPr>
          <w:rFonts w:eastAsiaTheme="minorHAnsi"/>
          <w:lang w:eastAsia="en-US"/>
        </w:rPr>
        <w:t xml:space="preserve"> </w:t>
      </w:r>
      <w:r w:rsidR="006D4E66" w:rsidRPr="004C5C37">
        <w:rPr>
          <w:rFonts w:eastAsiaTheme="minorHAnsi"/>
          <w:lang w:eastAsia="en-US"/>
        </w:rPr>
        <w:t>dňa 15. decembra 2014</w:t>
      </w:r>
      <w:r w:rsidR="006D4E66" w:rsidRPr="004C5C37">
        <w:t>.</w:t>
      </w:r>
      <w:r w:rsidR="00F36DC2" w:rsidRPr="00F36DC2">
        <w:rPr>
          <w:rFonts w:eastAsiaTheme="minorHAnsi"/>
          <w:lang w:eastAsia="en-US"/>
        </w:rPr>
        <w:t xml:space="preserve"> </w:t>
      </w:r>
      <w:r w:rsidR="00F36DC2" w:rsidRPr="00A85BEE">
        <w:rPr>
          <w:rFonts w:eastAsiaTheme="minorHAnsi"/>
          <w:lang w:eastAsia="en-US"/>
        </w:rPr>
        <w:t xml:space="preserve">Aktualizovaná verzia 2.0 bola schválená na národnej úrovni </w:t>
      </w:r>
      <w:r>
        <w:rPr>
          <w:rFonts w:eastAsiaTheme="minorHAnsi"/>
          <w:lang w:eastAsia="en-US"/>
        </w:rPr>
        <w:t>MV</w:t>
      </w:r>
      <w:r w:rsidR="00F36DC2" w:rsidRPr="00A85BEE">
        <w:rPr>
          <w:rFonts w:eastAsiaTheme="minorHAnsi"/>
          <w:lang w:eastAsia="en-US"/>
        </w:rPr>
        <w:t xml:space="preserve"> OP TP dňa 10.12.2015.</w:t>
      </w:r>
    </w:p>
    <w:p w:rsidR="00257723" w:rsidRDefault="00257723" w:rsidP="00257723">
      <w:pPr>
        <w:jc w:val="both"/>
      </w:pPr>
    </w:p>
    <w:p w:rsidR="00257723" w:rsidRDefault="00F36DC2" w:rsidP="00257723">
      <w:pPr>
        <w:jc w:val="both"/>
      </w:pPr>
      <w:r w:rsidRPr="00F36DC2">
        <w:t xml:space="preserve">V priebehu roka 2016 bola vypracovaná </w:t>
      </w:r>
      <w:r>
        <w:t>d</w:t>
      </w:r>
      <w:r w:rsidR="00257723">
        <w:t>ruhá</w:t>
      </w:r>
      <w:r w:rsidR="00257723" w:rsidRPr="004C5C37">
        <w:t xml:space="preserve"> revízia OP TP</w:t>
      </w:r>
      <w:r>
        <w:t xml:space="preserve">, </w:t>
      </w:r>
      <w:r w:rsidRPr="00F36DC2">
        <w:t>do ktorej boli zapracované  zmeny schválené</w:t>
      </w:r>
      <w:r w:rsidR="00257723" w:rsidRPr="004C5C37">
        <w:t xml:space="preserve"> na národnej úrovni </w:t>
      </w:r>
      <w:r w:rsidR="00DC7849">
        <w:t>MV</w:t>
      </w:r>
      <w:r w:rsidR="00257723" w:rsidRPr="004C5C37">
        <w:t xml:space="preserve"> OP TP dňa </w:t>
      </w:r>
      <w:r w:rsidR="00257723">
        <w:t>01</w:t>
      </w:r>
      <w:r w:rsidR="00257723" w:rsidRPr="004C5C37">
        <w:t xml:space="preserve">. </w:t>
      </w:r>
      <w:r w:rsidR="00257723">
        <w:t>04</w:t>
      </w:r>
      <w:r w:rsidR="00257723" w:rsidRPr="004C5C37">
        <w:t>. 201</w:t>
      </w:r>
      <w:r w:rsidR="00257723">
        <w:t>6</w:t>
      </w:r>
      <w:r w:rsidRPr="00F36DC2">
        <w:t xml:space="preserve"> a 25.</w:t>
      </w:r>
      <w:r>
        <w:t xml:space="preserve"> 0</w:t>
      </w:r>
      <w:r w:rsidRPr="00F36DC2">
        <w:t>5.</w:t>
      </w:r>
      <w:r>
        <w:t xml:space="preserve"> </w:t>
      </w:r>
      <w:r w:rsidRPr="00F36DC2">
        <w:t>2016</w:t>
      </w:r>
      <w:r w:rsidR="00257723" w:rsidRPr="004C5C37">
        <w:t>. Dôvodom revízie bol</w:t>
      </w:r>
      <w:r>
        <w:t>a</w:t>
      </w:r>
      <w:r w:rsidR="00257723" w:rsidRPr="004C5C37">
        <w:t xml:space="preserve"> </w:t>
      </w:r>
      <w:r w:rsidR="00257723">
        <w:t>aktualizácia</w:t>
      </w:r>
      <w:r w:rsidR="00257723" w:rsidRPr="004C5C37">
        <w:t xml:space="preserve"> </w:t>
      </w:r>
      <w:r w:rsidR="00257723">
        <w:t>zoznamu</w:t>
      </w:r>
      <w:r w:rsidR="00257723" w:rsidRPr="004C5C37">
        <w:t xml:space="preserve"> oprávnených prijímateľov z dôvodu presunu pôsobnosti a kompetencií a identifikácie subjektov, ktoré neboli zahrnuté v pôvodnej verzii, ale podieľajú sa svojou činnosťou na riadení, kontrole a audite EŠIF</w:t>
      </w:r>
      <w:r w:rsidRPr="00F36DC2">
        <w:t>, doplnenie schválených prijímateľov do ďalších aktivít OP TP z dôvodu zabezpečenia pokrytia oprávnených činností  a stabilizácie administratívnych kapacít, doplnenie</w:t>
      </w:r>
      <w:r w:rsidR="00852AD6">
        <w:t xml:space="preserve"> </w:t>
      </w:r>
      <w:r w:rsidR="00257723">
        <w:t xml:space="preserve">východiskovej a cieľovej hodnoty ukazovateľa „Miera informovanosti o možnostiach podpory EŠIF“ v zmysle </w:t>
      </w:r>
      <w:r w:rsidR="00DC7849">
        <w:t>AP</w:t>
      </w:r>
      <w:r w:rsidR="00257723">
        <w:t xml:space="preserve"> k splneniu všeobecnej ex ante kondicionality. Zo strany EK bola uvedená revízia prijatá vykonávacím rozhodnutím z 13.</w:t>
      </w:r>
      <w:r w:rsidR="00DE567C">
        <w:t xml:space="preserve"> </w:t>
      </w:r>
      <w:r w:rsidR="00257723">
        <w:t>10.</w:t>
      </w:r>
      <w:r w:rsidR="00DE567C">
        <w:t xml:space="preserve"> </w:t>
      </w:r>
      <w:r w:rsidR="00257723">
        <w:t>2016.</w:t>
      </w:r>
    </w:p>
    <w:p w:rsidR="006110F4" w:rsidRDefault="00DE567C" w:rsidP="00533E9A">
      <w:pPr>
        <w:autoSpaceDE w:val="0"/>
        <w:autoSpaceDN w:val="0"/>
        <w:adjustRightInd w:val="0"/>
        <w:jc w:val="both"/>
      </w:pPr>
      <w:r>
        <w:t xml:space="preserve"> </w:t>
      </w:r>
    </w:p>
    <w:p w:rsidR="00B54DD4" w:rsidRDefault="00B54DD4" w:rsidP="00533E9A">
      <w:pPr>
        <w:autoSpaceDE w:val="0"/>
        <w:autoSpaceDN w:val="0"/>
        <w:adjustRightInd w:val="0"/>
        <w:jc w:val="both"/>
      </w:pPr>
      <w:r w:rsidRPr="00B54DD4">
        <w:t>V uvedenom období RO OP TP vyhlásil 11 vyzvaní v celkovej výške 110 889</w:t>
      </w:r>
      <w:r w:rsidR="00852AD6">
        <w:t> </w:t>
      </w:r>
      <w:r w:rsidRPr="00B54DD4">
        <w:t>800</w:t>
      </w:r>
      <w:r w:rsidR="00852AD6">
        <w:t>,00</w:t>
      </w:r>
      <w:r w:rsidRPr="00B54DD4">
        <w:t xml:space="preserve"> Eur za zdroj EÚ, čo tvorí takmer </w:t>
      </w:r>
      <w:r w:rsidR="00417478">
        <w:t>70</w:t>
      </w:r>
      <w:r w:rsidR="00417478" w:rsidRPr="00B54DD4">
        <w:t xml:space="preserve"> </w:t>
      </w:r>
      <w:r w:rsidRPr="00B54DD4">
        <w:t xml:space="preserve">% z alokácie OP TP. Vyhlásenými vyzvaniami boli pokryté takmer všetky typy aktivít jednotlivých </w:t>
      </w:r>
      <w:r w:rsidR="00DC7849">
        <w:t>ŠC</w:t>
      </w:r>
      <w:r w:rsidRPr="00B54DD4">
        <w:t xml:space="preserve"> oboch prioritných osí OP TP s</w:t>
      </w:r>
      <w:r w:rsidR="006B7678">
        <w:t xml:space="preserve"> výnimkou 2</w:t>
      </w:r>
      <w:r w:rsidRPr="00B54DD4">
        <w:t xml:space="preserve"> typov aktivít, ktoré budú predmetom vyhlásených vyzvaní v roku 2017.</w:t>
      </w:r>
    </w:p>
    <w:p w:rsidR="00B54DD4" w:rsidRDefault="00B54DD4" w:rsidP="00533E9A">
      <w:pPr>
        <w:autoSpaceDE w:val="0"/>
        <w:autoSpaceDN w:val="0"/>
        <w:adjustRightInd w:val="0"/>
        <w:jc w:val="both"/>
      </w:pPr>
    </w:p>
    <w:p w:rsidR="00CF3BC2" w:rsidRDefault="00116816" w:rsidP="00533E9A">
      <w:pPr>
        <w:autoSpaceDE w:val="0"/>
        <w:autoSpaceDN w:val="0"/>
        <w:adjustRightInd w:val="0"/>
        <w:jc w:val="both"/>
      </w:pPr>
      <w:r>
        <w:t xml:space="preserve">V roku 2016 nastal očakávaný pokrok v kontrahovaní a čerpaní alokovaných finančných prostriedkov OP TP pre programové obdobie 2014-2020. </w:t>
      </w:r>
      <w:r w:rsidR="006110F4">
        <w:t xml:space="preserve">Celkovo bolo v roku 2016 kontrahovaných </w:t>
      </w:r>
      <w:r w:rsidR="00D436BC">
        <w:t>3</w:t>
      </w:r>
      <w:r w:rsidR="006A7505">
        <w:t>1</w:t>
      </w:r>
      <w:r w:rsidR="006110F4">
        <w:t xml:space="preserve"> projektov v celkovej výške</w:t>
      </w:r>
      <w:r w:rsidR="00852AD6">
        <w:t xml:space="preserve"> 55 744 835,00</w:t>
      </w:r>
      <w:r w:rsidR="006110F4">
        <w:t xml:space="preserve"> Eur za zdroj EÚ (35 % z alokácie OP TP). </w:t>
      </w:r>
      <w:r w:rsidR="00875B4A">
        <w:t>V roku 2016 oprávnení prijímatelia predložili žiadosti o platbu (refundácia, zúčtovanie zálohy a zúčtovanie predfinancovania) celkovo vo výške 11 580</w:t>
      </w:r>
      <w:r w:rsidR="00852AD6">
        <w:t> </w:t>
      </w:r>
      <w:r w:rsidR="00875B4A">
        <w:t>73</w:t>
      </w:r>
      <w:r w:rsidR="00852AD6">
        <w:t>3,00</w:t>
      </w:r>
      <w:r w:rsidR="00875B4A">
        <w:t xml:space="preserve"> Eur, pričom čerpanie bolo dosiahnuté vo výške 6 723</w:t>
      </w:r>
      <w:r w:rsidR="00604194">
        <w:t> </w:t>
      </w:r>
      <w:r w:rsidR="00875B4A">
        <w:t>747</w:t>
      </w:r>
      <w:r w:rsidR="00604194">
        <w:t>,20</w:t>
      </w:r>
      <w:r w:rsidR="00875B4A">
        <w:t xml:space="preserve"> Eur za zdroj EÚ (4,23% z alokácie OP TP). </w:t>
      </w:r>
      <w:r w:rsidR="00B54DD4">
        <w:t>Pokrok v kontrahovaní a čerpaní považuje RO OP TP za dostačujúci</w:t>
      </w:r>
      <w:r w:rsidR="00765B83">
        <w:t xml:space="preserve"> a očakávaný</w:t>
      </w:r>
      <w:r w:rsidR="00B54DD4">
        <w:t xml:space="preserve">, najmä v nadväznosti </w:t>
      </w:r>
      <w:r w:rsidR="0055124A">
        <w:t xml:space="preserve">na </w:t>
      </w:r>
      <w:r w:rsidR="00765B83">
        <w:t>vyhláse</w:t>
      </w:r>
      <w:r w:rsidR="0055124A">
        <w:t>né vyzvania</w:t>
      </w:r>
      <w:r w:rsidR="00B54DD4">
        <w:t xml:space="preserve"> a následn</w:t>
      </w:r>
      <w:r w:rsidR="0055124A">
        <w:t>ý proces</w:t>
      </w:r>
      <w:r w:rsidR="00B54DD4">
        <w:t xml:space="preserve"> implementácie jednotlivých projektov.</w:t>
      </w:r>
      <w:r w:rsidR="00765B83">
        <w:t xml:space="preserve"> </w:t>
      </w:r>
    </w:p>
    <w:p w:rsidR="006110F4" w:rsidRDefault="006110F4" w:rsidP="00533E9A">
      <w:pPr>
        <w:autoSpaceDE w:val="0"/>
        <w:autoSpaceDN w:val="0"/>
        <w:adjustRightInd w:val="0"/>
        <w:jc w:val="both"/>
      </w:pPr>
    </w:p>
    <w:p w:rsidR="005F7BCF" w:rsidRPr="00DC0EED" w:rsidRDefault="00B54DD4" w:rsidP="00533E9A">
      <w:pPr>
        <w:jc w:val="both"/>
      </w:pPr>
      <w:r>
        <w:t>Finančný z</w:t>
      </w:r>
      <w:r w:rsidR="006C5140">
        <w:t>á</w:t>
      </w:r>
      <w:r>
        <w:t>väzok OP TP v rámci pravid</w:t>
      </w:r>
      <w:r w:rsidR="00852AD6">
        <w:t xml:space="preserve">la n+3 je na úrovni </w:t>
      </w:r>
      <w:r w:rsidR="004637DD">
        <w:t>7 616 643,00</w:t>
      </w:r>
      <w:r>
        <w:t xml:space="preserve"> Eur</w:t>
      </w:r>
      <w:r w:rsidR="006A7505">
        <w:t xml:space="preserve"> za EÚ zdroj</w:t>
      </w:r>
      <w:r>
        <w:t>, ktorý OP TP vzhľadom na predpokladaný vývoj kontrahovania a čerpania plánuje dodržať, resp. prekročiť.</w:t>
      </w:r>
      <w:r w:rsidR="0055124A">
        <w:t xml:space="preserve"> K 31. 12. 2016 bolo čerpanie záväzku</w:t>
      </w:r>
      <w:r w:rsidR="006A7505">
        <w:t xml:space="preserve"> za EÚ zdroj vo výške</w:t>
      </w:r>
      <w:r w:rsidR="0055124A">
        <w:t xml:space="preserve"> </w:t>
      </w:r>
      <w:r w:rsidR="00F34A82">
        <w:t>6 723 747,20</w:t>
      </w:r>
      <w:r w:rsidR="0055124A">
        <w:t xml:space="preserve"> Eur</w:t>
      </w:r>
      <w:r w:rsidR="00F34A82">
        <w:t>.</w:t>
      </w:r>
    </w:p>
    <w:p w:rsidR="00385576" w:rsidRDefault="00385576" w:rsidP="00757504">
      <w:pPr>
        <w:jc w:val="both"/>
      </w:pPr>
    </w:p>
    <w:p w:rsidR="00821DCC" w:rsidRDefault="00821DCC" w:rsidP="00821DCC">
      <w:pPr>
        <w:jc w:val="both"/>
      </w:pPr>
      <w:r w:rsidRPr="00821DCC">
        <w:t>Celková suma schválených SŽP k 31.</w:t>
      </w:r>
      <w:r w:rsidR="0055124A">
        <w:t xml:space="preserve"> </w:t>
      </w:r>
      <w:r w:rsidRPr="00821DCC">
        <w:t>12.</w:t>
      </w:r>
      <w:r w:rsidR="0055124A">
        <w:t xml:space="preserve"> </w:t>
      </w:r>
      <w:r w:rsidRPr="00821DCC">
        <w:t>2016 za OP Technická pomoc predstavovala sumu</w:t>
      </w:r>
      <w:r w:rsidR="00F34A82">
        <w:t xml:space="preserve"> 7 915 612,41 Eur, z toho za EÚ zdroj </w:t>
      </w:r>
      <w:r w:rsidRPr="00821DCC">
        <w:t xml:space="preserve"> 6 727 655,86 EUR</w:t>
      </w:r>
      <w:r w:rsidR="00F34A82">
        <w:t xml:space="preserve"> </w:t>
      </w:r>
      <w:r w:rsidRPr="00821DCC">
        <w:t xml:space="preserve"> a za spolufinancovanie zo ŠR 1 187 956,55 EUR</w:t>
      </w:r>
      <w:r w:rsidR="00B47467">
        <w:t xml:space="preserve"> (zdroj pro</w:t>
      </w:r>
      <w:r w:rsidR="00F34A82">
        <w:t xml:space="preserve"> </w:t>
      </w:r>
      <w:r w:rsidR="00B47467">
        <w:t>rata tvoril hodnotu 282 846,92 Eur)</w:t>
      </w:r>
      <w:r w:rsidR="00F34A82">
        <w:t>,</w:t>
      </w:r>
      <w:r w:rsidRPr="00821DCC">
        <w:t xml:space="preserve"> (PJ predložila na CO 9 SŽP).</w:t>
      </w:r>
      <w:r>
        <w:t xml:space="preserve"> </w:t>
      </w:r>
      <w:r w:rsidR="006A7505">
        <w:br/>
      </w:r>
      <w:r>
        <w:t>K 31.</w:t>
      </w:r>
      <w:r w:rsidR="0055124A">
        <w:t xml:space="preserve"> </w:t>
      </w:r>
      <w:r>
        <w:t>12.</w:t>
      </w:r>
      <w:r w:rsidR="0055124A">
        <w:t xml:space="preserve"> </w:t>
      </w:r>
      <w:r>
        <w:t xml:space="preserve">2016 dosiahlo čerpanie prostriedkov EÚ po zohľadnení nezrovnalostí a vratiek </w:t>
      </w:r>
      <w:r w:rsidR="006A7505">
        <w:br/>
      </w:r>
      <w:r>
        <w:t>v rámci OP Technická pomoc výšku 6 723 747,20 EUR</w:t>
      </w:r>
      <w:r w:rsidR="006A7505">
        <w:t xml:space="preserve"> (za EÚ zdroj)</w:t>
      </w:r>
      <w:r>
        <w:t>, pričom podiel čerpania prostriedkov EÚ k alokácii (159 071</w:t>
      </w:r>
      <w:r w:rsidR="00852AD6">
        <w:t> </w:t>
      </w:r>
      <w:r>
        <w:t>912</w:t>
      </w:r>
      <w:r w:rsidR="00852AD6">
        <w:t>,00</w:t>
      </w:r>
      <w:r>
        <w:t xml:space="preserve"> EUR</w:t>
      </w:r>
      <w:r w:rsidR="006A7505">
        <w:t xml:space="preserve"> (za EÚ zdroj</w:t>
      </w:r>
      <w:r>
        <w:t>) bol</w:t>
      </w:r>
      <w:r w:rsidR="00604194">
        <w:t xml:space="preserve"> </w:t>
      </w:r>
      <w:r>
        <w:t>na úrovni 4,23 %. CO deklaroval na EK</w:t>
      </w:r>
      <w:r w:rsidR="006A7505">
        <w:t xml:space="preserve"> </w:t>
      </w:r>
      <w:r w:rsidR="00852AD6">
        <w:t xml:space="preserve"> </w:t>
      </w:r>
      <w:r>
        <w:t>k 31.</w:t>
      </w:r>
      <w:r w:rsidR="0055124A">
        <w:t xml:space="preserve"> </w:t>
      </w:r>
      <w:r>
        <w:t>12.</w:t>
      </w:r>
      <w:r w:rsidR="0055124A">
        <w:t xml:space="preserve"> </w:t>
      </w:r>
      <w:r>
        <w:t>2016 výdavky za OP Technická pomoc v celkovej sume 6 724 361,48 EUR</w:t>
      </w:r>
      <w:r w:rsidR="006A7505">
        <w:t xml:space="preserve"> (za EÚ zdroj)</w:t>
      </w:r>
      <w:r>
        <w:t>, z</w:t>
      </w:r>
      <w:r w:rsidR="00852AD6">
        <w:t> </w:t>
      </w:r>
      <w:r>
        <w:t>toho</w:t>
      </w:r>
      <w:r w:rsidR="00852AD6">
        <w:t xml:space="preserve"> </w:t>
      </w:r>
      <w:r>
        <w:t xml:space="preserve">v sume 0,00 EUR v záverečnej priebežnej ŽoP na EK </w:t>
      </w:r>
      <w:r w:rsidR="006A7505">
        <w:br/>
      </w:r>
      <w:r>
        <w:t>č. 3012026001 za 2. účtovný rok</w:t>
      </w:r>
      <w:r w:rsidR="006A7505">
        <w:t xml:space="preserve"> </w:t>
      </w:r>
      <w:r>
        <w:t>a v sume 6 724 361,48 EUR</w:t>
      </w:r>
      <w:r w:rsidR="006A7505">
        <w:t xml:space="preserve"> (za EÚ zdroj)</w:t>
      </w:r>
      <w:r>
        <w:t xml:space="preserve"> v priebežnej ŽoP na EK č. 3012035001 za 3. účtovný rok. To predstavovalo 4,23 % podielu čerpania </w:t>
      </w:r>
      <w:r w:rsidR="006A7505">
        <w:br/>
      </w:r>
      <w:r>
        <w:t>z alokácie.</w:t>
      </w:r>
    </w:p>
    <w:p w:rsidR="00821DCC" w:rsidRDefault="00821DCC" w:rsidP="00821DCC">
      <w:pPr>
        <w:jc w:val="both"/>
      </w:pPr>
    </w:p>
    <w:p w:rsidR="00757504" w:rsidRPr="00057061" w:rsidRDefault="00821DCC" w:rsidP="00821DCC">
      <w:pPr>
        <w:jc w:val="both"/>
      </w:pPr>
      <w:r>
        <w:t>K 31.</w:t>
      </w:r>
      <w:r w:rsidR="0055124A">
        <w:t xml:space="preserve"> </w:t>
      </w:r>
      <w:r>
        <w:t>12.</w:t>
      </w:r>
      <w:r w:rsidR="0055124A">
        <w:t xml:space="preserve"> </w:t>
      </w:r>
      <w:r>
        <w:t xml:space="preserve">2016 boli na účet CO pre OP Technická pomoc prijaté platby v celkovej sume </w:t>
      </w:r>
      <w:r w:rsidR="006A7505">
        <w:br/>
      </w:r>
      <w:r>
        <w:t xml:space="preserve">14 005 520,93 EUR za zdroj EÚ, z toho platby prijaté v roku 2015 v sume 3 181 438,24 EUR </w:t>
      </w:r>
      <w:r w:rsidR="00604194">
        <w:br/>
      </w:r>
      <w:r>
        <w:t>a v roku 2016 v sume 10 824 082,69 EUR. V roku 2016 CO prijal 3. tranžu počiatočnej zálohovej platby v sume 1 590 719,12 EUR, ročnú zálohovú platbu v sume 3 181 438,24 EUR a 90 % z priebežnej ŽoP na EK č. 3012035001 v sume 6 051 925,33 EUR</w:t>
      </w:r>
      <w:r w:rsidR="006A7505">
        <w:t xml:space="preserve"> (všetky sumy za EÚ zdroj</w:t>
      </w:r>
      <w:r>
        <w:t>.</w:t>
      </w:r>
    </w:p>
    <w:p w:rsidR="00821DCC" w:rsidRDefault="00821DCC" w:rsidP="00087513">
      <w:pPr>
        <w:pStyle w:val="Default"/>
        <w:jc w:val="both"/>
      </w:pPr>
    </w:p>
    <w:p w:rsidR="00821DCC" w:rsidRDefault="00821DCC" w:rsidP="00087513">
      <w:pPr>
        <w:pStyle w:val="Default"/>
        <w:jc w:val="both"/>
      </w:pPr>
      <w:r w:rsidRPr="00821DCC">
        <w:rPr>
          <w:rFonts w:ascii="Times New Roman" w:hAnsi="Times New Roman" w:cs="Times New Roman"/>
          <w:color w:val="auto"/>
        </w:rPr>
        <w:t>V sledovanom období od 01.</w:t>
      </w:r>
      <w:r w:rsidR="00DE567C">
        <w:rPr>
          <w:rFonts w:ascii="Times New Roman" w:hAnsi="Times New Roman" w:cs="Times New Roman"/>
          <w:color w:val="auto"/>
        </w:rPr>
        <w:t xml:space="preserve"> </w:t>
      </w:r>
      <w:r w:rsidRPr="00821DCC">
        <w:rPr>
          <w:rFonts w:ascii="Times New Roman" w:hAnsi="Times New Roman" w:cs="Times New Roman"/>
          <w:color w:val="auto"/>
        </w:rPr>
        <w:t>01.</w:t>
      </w:r>
      <w:r w:rsidR="00DE567C">
        <w:rPr>
          <w:rFonts w:ascii="Times New Roman" w:hAnsi="Times New Roman" w:cs="Times New Roman"/>
          <w:color w:val="auto"/>
        </w:rPr>
        <w:t xml:space="preserve"> </w:t>
      </w:r>
      <w:r w:rsidRPr="00821DCC">
        <w:rPr>
          <w:rFonts w:ascii="Times New Roman" w:hAnsi="Times New Roman" w:cs="Times New Roman"/>
          <w:color w:val="auto"/>
        </w:rPr>
        <w:t>2016 do 31.</w:t>
      </w:r>
      <w:r w:rsidR="0055124A">
        <w:rPr>
          <w:rFonts w:ascii="Times New Roman" w:hAnsi="Times New Roman" w:cs="Times New Roman"/>
          <w:color w:val="auto"/>
        </w:rPr>
        <w:t xml:space="preserve"> </w:t>
      </w:r>
      <w:r w:rsidRPr="00821DCC">
        <w:rPr>
          <w:rFonts w:ascii="Times New Roman" w:hAnsi="Times New Roman" w:cs="Times New Roman"/>
          <w:color w:val="auto"/>
        </w:rPr>
        <w:t>12.</w:t>
      </w:r>
      <w:r w:rsidR="0055124A">
        <w:rPr>
          <w:rFonts w:ascii="Times New Roman" w:hAnsi="Times New Roman" w:cs="Times New Roman"/>
          <w:color w:val="auto"/>
        </w:rPr>
        <w:t xml:space="preserve"> </w:t>
      </w:r>
      <w:r w:rsidRPr="00821DCC">
        <w:rPr>
          <w:rFonts w:ascii="Times New Roman" w:hAnsi="Times New Roman" w:cs="Times New Roman"/>
          <w:color w:val="auto"/>
        </w:rPr>
        <w:t>2016 boli certifikačným or</w:t>
      </w:r>
      <w:r w:rsidR="00604194">
        <w:rPr>
          <w:rFonts w:ascii="Times New Roman" w:hAnsi="Times New Roman" w:cs="Times New Roman"/>
          <w:color w:val="auto"/>
        </w:rPr>
        <w:t xml:space="preserve">gánom odpočítané nezrovnalosti </w:t>
      </w:r>
      <w:r w:rsidRPr="00821DCC">
        <w:rPr>
          <w:rFonts w:ascii="Times New Roman" w:hAnsi="Times New Roman" w:cs="Times New Roman"/>
          <w:color w:val="auto"/>
        </w:rPr>
        <w:t>voči rozpočtu EÚ v sume 4 763,17 EUR, z toho 3 908,66 EUR za zdroj EÚ.</w:t>
      </w:r>
    </w:p>
    <w:p w:rsidR="00821DCC" w:rsidRDefault="00821DCC" w:rsidP="00087513">
      <w:pPr>
        <w:pStyle w:val="Default"/>
        <w:jc w:val="both"/>
      </w:pPr>
    </w:p>
    <w:p w:rsidR="00E9160E" w:rsidRDefault="00765B83" w:rsidP="00087513">
      <w:pPr>
        <w:pStyle w:val="Default"/>
        <w:jc w:val="both"/>
        <w:rPr>
          <w:rFonts w:eastAsia="EUAlbertina-Regular-Identity-H"/>
        </w:rPr>
      </w:pPr>
      <w:r>
        <w:rPr>
          <w:rFonts w:ascii="Times New Roman" w:hAnsi="Times New Roman" w:cs="Times New Roman"/>
          <w:color w:val="auto"/>
        </w:rPr>
        <w:t>V sledovanom období neboli</w:t>
      </w:r>
      <w:r w:rsidR="00DE567C">
        <w:rPr>
          <w:rFonts w:ascii="Times New Roman" w:hAnsi="Times New Roman" w:cs="Times New Roman"/>
          <w:color w:val="auto"/>
        </w:rPr>
        <w:t xml:space="preserve"> v rámci OP TP vykonané žiadne </w:t>
      </w:r>
      <w:r>
        <w:rPr>
          <w:rFonts w:ascii="Times New Roman" w:hAnsi="Times New Roman" w:cs="Times New Roman"/>
          <w:color w:val="auto"/>
        </w:rPr>
        <w:t>špeciálne hodnotenia programu</w:t>
      </w:r>
      <w:r w:rsidR="00BE3681">
        <w:rPr>
          <w:rFonts w:ascii="Times New Roman" w:hAnsi="Times New Roman" w:cs="Times New Roman"/>
          <w:color w:val="auto"/>
        </w:rPr>
        <w:t>.</w:t>
      </w:r>
    </w:p>
    <w:p w:rsidR="00223BB9" w:rsidRDefault="00223BB9" w:rsidP="00087513">
      <w:pPr>
        <w:pStyle w:val="Default"/>
        <w:jc w:val="both"/>
        <w:rPr>
          <w:rFonts w:eastAsia="EUAlbertina-Regular-Identity-H"/>
        </w:rPr>
      </w:pPr>
    </w:p>
    <w:p w:rsidR="00F15F29" w:rsidRPr="00F15F29" w:rsidRDefault="00F15F29" w:rsidP="00F15F29">
      <w:pPr>
        <w:pStyle w:val="Default"/>
        <w:jc w:val="both"/>
        <w:rPr>
          <w:rFonts w:ascii="Times New Roman" w:hAnsi="Times New Roman" w:cs="Times New Roman"/>
          <w:color w:val="auto"/>
          <w:lang w:eastAsia="sk-SK"/>
        </w:rPr>
      </w:pPr>
      <w:r w:rsidRPr="00F15F29">
        <w:rPr>
          <w:rFonts w:ascii="Times New Roman" w:hAnsi="Times New Roman" w:cs="Times New Roman"/>
          <w:color w:val="auto"/>
          <w:lang w:eastAsia="sk-SK"/>
        </w:rPr>
        <w:t xml:space="preserve">Nakoľko implementácia </w:t>
      </w:r>
      <w:r w:rsidR="00DC7849">
        <w:rPr>
          <w:rFonts w:ascii="Times New Roman" w:hAnsi="Times New Roman" w:cs="Times New Roman"/>
          <w:color w:val="auto"/>
          <w:lang w:eastAsia="sk-SK"/>
        </w:rPr>
        <w:t>OP TP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 sa v roku 2016 nachádzala v prípravnej fáze, v rámci ktorej boli činnosti </w:t>
      </w:r>
      <w:r w:rsidR="00DC7849">
        <w:rPr>
          <w:rFonts w:ascii="Times New Roman" w:hAnsi="Times New Roman" w:cs="Times New Roman"/>
          <w:color w:val="auto"/>
          <w:lang w:eastAsia="sk-SK"/>
        </w:rPr>
        <w:t>RO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 a </w:t>
      </w:r>
      <w:r w:rsidR="00DC7849">
        <w:rPr>
          <w:rFonts w:ascii="Times New Roman" w:hAnsi="Times New Roman" w:cs="Times New Roman"/>
          <w:color w:val="auto"/>
          <w:lang w:eastAsia="sk-SK"/>
        </w:rPr>
        <w:t>CO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 zamerané najmä na vypracovanie a schvaľov</w:t>
      </w:r>
      <w:r w:rsidR="00604194">
        <w:rPr>
          <w:rFonts w:ascii="Times New Roman" w:hAnsi="Times New Roman" w:cs="Times New Roman"/>
          <w:color w:val="auto"/>
          <w:lang w:eastAsia="sk-SK"/>
        </w:rPr>
        <w:t>anie riadiacich dokumentov, t. z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. zodpovedala etape nastavovania systému riadenia a kontroly v nadväznosti na požiadavky nariadenia </w:t>
      </w:r>
      <w:r w:rsidR="00DC7849">
        <w:rPr>
          <w:rFonts w:ascii="Times New Roman" w:hAnsi="Times New Roman" w:cs="Times New Roman"/>
          <w:color w:val="auto"/>
          <w:lang w:eastAsia="sk-SK"/>
        </w:rPr>
        <w:t>EP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 a Rady (EÚ) č. 1303/2013, </w:t>
      </w:r>
      <w:r w:rsidR="00DC7849">
        <w:rPr>
          <w:rFonts w:ascii="Times New Roman" w:hAnsi="Times New Roman" w:cs="Times New Roman"/>
          <w:color w:val="auto"/>
          <w:lang w:eastAsia="sk-SK"/>
        </w:rPr>
        <w:t>OA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 nevykonal žiadny audit operácií, systémový audit ani audit účtov.</w:t>
      </w:r>
    </w:p>
    <w:p w:rsidR="00F15F29" w:rsidRPr="00F15F29" w:rsidRDefault="00F15F29" w:rsidP="00F15F29">
      <w:pPr>
        <w:pStyle w:val="Default"/>
        <w:jc w:val="both"/>
        <w:rPr>
          <w:rFonts w:ascii="Times New Roman" w:hAnsi="Times New Roman" w:cs="Times New Roman"/>
          <w:color w:val="auto"/>
          <w:lang w:eastAsia="sk-SK"/>
        </w:rPr>
      </w:pPr>
      <w:r w:rsidRPr="00F15F29">
        <w:rPr>
          <w:rFonts w:ascii="Times New Roman" w:hAnsi="Times New Roman" w:cs="Times New Roman"/>
          <w:color w:val="auto"/>
          <w:lang w:eastAsia="sk-SK"/>
        </w:rPr>
        <w:t xml:space="preserve">V rámci </w:t>
      </w:r>
      <w:r w:rsidR="00DC7849">
        <w:rPr>
          <w:rFonts w:ascii="Times New Roman" w:hAnsi="Times New Roman" w:cs="Times New Roman"/>
          <w:color w:val="auto"/>
          <w:lang w:eastAsia="sk-SK"/>
        </w:rPr>
        <w:t>OP TP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 pomoc bol audit pripravenosti/určenia č. A641 ukončený v decembri 2015. Výsledky overovania z auditu č. A641 boli reportované </w:t>
      </w:r>
      <w:r w:rsidR="00DC7849">
        <w:rPr>
          <w:rFonts w:ascii="Times New Roman" w:hAnsi="Times New Roman" w:cs="Times New Roman"/>
          <w:color w:val="auto"/>
          <w:lang w:eastAsia="sk-SK"/>
        </w:rPr>
        <w:t>EK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 vo Výročnej kontrolnej správe,  ktorá bola na EK zaslaná vo februári 2016. </w:t>
      </w:r>
    </w:p>
    <w:p w:rsidR="00F15F29" w:rsidRPr="00F15F29" w:rsidRDefault="00F15F29" w:rsidP="00F15F29">
      <w:pPr>
        <w:pStyle w:val="Default"/>
        <w:jc w:val="both"/>
        <w:rPr>
          <w:rFonts w:ascii="Times New Roman" w:hAnsi="Times New Roman" w:cs="Times New Roman"/>
          <w:color w:val="auto"/>
          <w:lang w:eastAsia="sk-SK"/>
        </w:rPr>
      </w:pPr>
    </w:p>
    <w:p w:rsidR="00F15F29" w:rsidRPr="00F15F29" w:rsidRDefault="00F15F29" w:rsidP="00F15F29">
      <w:pPr>
        <w:pStyle w:val="Default"/>
        <w:jc w:val="both"/>
        <w:rPr>
          <w:rFonts w:ascii="Times New Roman" w:hAnsi="Times New Roman" w:cs="Times New Roman"/>
          <w:color w:val="auto"/>
          <w:lang w:eastAsia="sk-SK"/>
        </w:rPr>
      </w:pPr>
      <w:r w:rsidRPr="00F15F29">
        <w:rPr>
          <w:rFonts w:ascii="Times New Roman" w:hAnsi="Times New Roman" w:cs="Times New Roman"/>
          <w:color w:val="auto"/>
          <w:lang w:eastAsia="sk-SK"/>
        </w:rPr>
        <w:t>Výsledkom vykonanej audítorskej práce bolo poskytnu</w:t>
      </w:r>
      <w:r w:rsidR="00150E32">
        <w:rPr>
          <w:rFonts w:ascii="Times New Roman" w:hAnsi="Times New Roman" w:cs="Times New Roman"/>
          <w:color w:val="auto"/>
          <w:lang w:eastAsia="sk-SK"/>
        </w:rPr>
        <w:t xml:space="preserve">tie výroku ku dňu 11. 12. 2015 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 „Stanovisko s výhradou“. </w:t>
      </w:r>
      <w:r w:rsidR="00DC7849">
        <w:rPr>
          <w:rFonts w:ascii="Times New Roman" w:hAnsi="Times New Roman" w:cs="Times New Roman"/>
          <w:color w:val="auto"/>
          <w:lang w:eastAsia="sk-SK"/>
        </w:rPr>
        <w:t>RO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 bol povinný predložiť písomnú správu o splnení opatrení na nápravu nedostatkov zistených vládnym auditom v termíne do 30. 01. 2016. </w:t>
      </w:r>
      <w:r w:rsidR="00604194">
        <w:rPr>
          <w:rFonts w:ascii="Times New Roman" w:hAnsi="Times New Roman" w:cs="Times New Roman"/>
          <w:color w:val="auto"/>
          <w:lang w:eastAsia="sk-SK"/>
        </w:rPr>
        <w:br/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V nadväznosti na </w:t>
      </w:r>
      <w:r w:rsidR="00DE567C">
        <w:rPr>
          <w:rFonts w:ascii="Times New Roman" w:hAnsi="Times New Roman" w:cs="Times New Roman"/>
          <w:color w:val="auto"/>
          <w:lang w:eastAsia="sk-SK"/>
        </w:rPr>
        <w:t xml:space="preserve">tieto skutočnosti 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bolo v mesiaci február 2016 vykonané následné overenie splnenia opatrení na nápravu nedostatkov zistených vládnym auditom a odstránení príčin ich vzniku a zohľadnenia odporúčaní, záverom ktorého bolo vydanie výroku: „Stanovisko bez výhrad s obmedzením rozsahu“ pre informačné systémy a finančné nástroje vzhľadom </w:t>
      </w:r>
      <w:r w:rsidR="00604194">
        <w:rPr>
          <w:rFonts w:ascii="Times New Roman" w:hAnsi="Times New Roman" w:cs="Times New Roman"/>
          <w:color w:val="auto"/>
          <w:lang w:eastAsia="sk-SK"/>
        </w:rPr>
        <w:br/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k prebiehajúcim auditom pripravenosti/určenia v rámci koordinačného orgánu pre </w:t>
      </w:r>
      <w:r w:rsidR="00DE567C">
        <w:rPr>
          <w:rFonts w:ascii="Times New Roman" w:hAnsi="Times New Roman" w:cs="Times New Roman"/>
          <w:color w:val="auto"/>
          <w:lang w:eastAsia="sk-SK"/>
        </w:rPr>
        <w:t>finančné nástroje a informačné systémy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. </w:t>
      </w:r>
      <w:r w:rsidR="00940B8E">
        <w:rPr>
          <w:rFonts w:ascii="Times New Roman" w:hAnsi="Times New Roman" w:cs="Times New Roman"/>
          <w:color w:val="auto"/>
          <w:lang w:eastAsia="sk-SK"/>
        </w:rPr>
        <w:t>CKO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 zaslal </w:t>
      </w:r>
      <w:r w:rsidR="00940B8E">
        <w:rPr>
          <w:rFonts w:ascii="Times New Roman" w:hAnsi="Times New Roman" w:cs="Times New Roman"/>
          <w:color w:val="auto"/>
          <w:lang w:eastAsia="sk-SK"/>
        </w:rPr>
        <w:t>EK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oznámenie o dezignácii </w:t>
      </w:r>
      <w:r w:rsidR="00940B8E">
        <w:rPr>
          <w:rFonts w:ascii="Times New Roman" w:hAnsi="Times New Roman" w:cs="Times New Roman"/>
          <w:color w:val="auto"/>
          <w:lang w:eastAsia="sk-SK"/>
        </w:rPr>
        <w:t>OP TP</w:t>
      </w:r>
      <w:r w:rsidRPr="00F15F29">
        <w:rPr>
          <w:rFonts w:ascii="Times New Roman" w:hAnsi="Times New Roman" w:cs="Times New Roman"/>
          <w:color w:val="auto"/>
          <w:lang w:eastAsia="sk-SK"/>
        </w:rPr>
        <w:t xml:space="preserve"> dňa 02. 03. 2016 prostredníctvom systému SFC2014.</w:t>
      </w:r>
    </w:p>
    <w:p w:rsidR="00F15F29" w:rsidRPr="00F15F29" w:rsidRDefault="00F15F29" w:rsidP="00F15F29">
      <w:pPr>
        <w:pStyle w:val="Default"/>
        <w:jc w:val="both"/>
        <w:rPr>
          <w:rFonts w:ascii="Times New Roman" w:hAnsi="Times New Roman" w:cs="Times New Roman"/>
          <w:color w:val="auto"/>
          <w:lang w:eastAsia="sk-SK"/>
        </w:rPr>
      </w:pPr>
    </w:p>
    <w:p w:rsidR="000F6BEA" w:rsidRPr="00087513" w:rsidRDefault="00F15F29" w:rsidP="00087513">
      <w:pPr>
        <w:pStyle w:val="Default"/>
        <w:jc w:val="both"/>
        <w:rPr>
          <w:rFonts w:ascii="Times New Roman" w:hAnsi="Times New Roman" w:cs="Times New Roman"/>
          <w:color w:val="auto"/>
          <w:lang w:eastAsia="sk-SK"/>
        </w:rPr>
      </w:pPr>
      <w:r w:rsidRPr="00087513">
        <w:rPr>
          <w:rFonts w:ascii="Times New Roman" w:hAnsi="Times New Roman" w:cs="Times New Roman"/>
          <w:color w:val="auto"/>
          <w:lang w:eastAsia="sk-SK"/>
        </w:rPr>
        <w:lastRenderedPageBreak/>
        <w:t xml:space="preserve">Vzhľadom k tomu, že orgán auditu nevykonal vo vzťahu k účtovnému obdobiu 01. 07. 2015 – 30. 06. 2016 žiadny systémový audit, audit operácií a ani audit účtov podľa čl. 127 nariadenia Európskeho parlamentu a Rady (EÚ) č. 1303/2013, čl. 59 finančného nariadenia Európskeho parlamentu a Rady (EÚ, EURATOM) č. 966/2012 a čl. 29 delegovaného nariadenia Komisie (EÚ) č. 480/2014, orgán auditu vo výročnej kontrolnej správe na Európsku komisiu </w:t>
      </w:r>
      <w:r w:rsidR="00604194" w:rsidRPr="00087513">
        <w:rPr>
          <w:rFonts w:ascii="Times New Roman" w:hAnsi="Times New Roman" w:cs="Times New Roman"/>
          <w:color w:val="auto"/>
          <w:lang w:eastAsia="sk-SK"/>
        </w:rPr>
        <w:br/>
      </w:r>
      <w:r w:rsidRPr="00087513">
        <w:rPr>
          <w:rFonts w:ascii="Times New Roman" w:hAnsi="Times New Roman" w:cs="Times New Roman"/>
          <w:color w:val="auto"/>
          <w:lang w:eastAsia="sk-SK"/>
        </w:rPr>
        <w:t xml:space="preserve">vo februári 2017 nestanovil žiadny stupeň uistenia riadiaceho a kontrolného systému a podľa vykonávacieho nariadenia Komisie (EÚ) 2015/207 a usmernenia Európskej komisie </w:t>
      </w:r>
      <w:r w:rsidR="00604194" w:rsidRPr="00087513">
        <w:rPr>
          <w:rFonts w:ascii="Times New Roman" w:hAnsi="Times New Roman" w:cs="Times New Roman"/>
          <w:color w:val="auto"/>
          <w:lang w:eastAsia="sk-SK"/>
        </w:rPr>
        <w:br/>
      </w:r>
      <w:r w:rsidRPr="00087513">
        <w:rPr>
          <w:rFonts w:ascii="Times New Roman" w:hAnsi="Times New Roman" w:cs="Times New Roman"/>
          <w:color w:val="auto"/>
          <w:lang w:eastAsia="sk-SK"/>
        </w:rPr>
        <w:t>k vypracovaniu výročnej kontrolnej správy a výročného stanoviska (EGESIF_15-0002-02) ako aj v súlade s usmerňujúcim pokynom Európskej komisie Ares(2016)4055861 zo dňa 02. 08. 2016 formuloval tzv. odmietnutie výroku (disclaimer).</w:t>
      </w:r>
    </w:p>
    <w:p w:rsidR="000F6BEA" w:rsidRPr="00C4340D" w:rsidRDefault="000F6BEA" w:rsidP="00087513">
      <w:pPr>
        <w:pStyle w:val="Default"/>
        <w:jc w:val="both"/>
      </w:pPr>
    </w:p>
    <w:p w:rsidR="005145BE" w:rsidRDefault="000A61BB" w:rsidP="00087513">
      <w:pPr>
        <w:pStyle w:val="Default"/>
        <w:jc w:val="both"/>
      </w:pPr>
      <w:r>
        <w:rPr>
          <w:rFonts w:ascii="Times New Roman" w:eastAsia="Times New Roman" w:hAnsi="Times New Roman" w:cs="Times New Roman"/>
          <w:color w:val="auto"/>
          <w:lang w:eastAsia="sk-SK"/>
        </w:rPr>
        <w:t xml:space="preserve">Dodržiavanie a plnenie </w:t>
      </w:r>
      <w:r w:rsidR="00C72A5A">
        <w:rPr>
          <w:rFonts w:ascii="Times New Roman" w:eastAsia="Times New Roman" w:hAnsi="Times New Roman" w:cs="Times New Roman"/>
          <w:color w:val="auto"/>
          <w:lang w:eastAsia="sk-SK"/>
        </w:rPr>
        <w:t>ŠC</w:t>
      </w:r>
      <w:r>
        <w:rPr>
          <w:rFonts w:ascii="Times New Roman" w:eastAsia="Times New Roman" w:hAnsi="Times New Roman" w:cs="Times New Roman"/>
          <w:color w:val="auto"/>
          <w:lang w:eastAsia="sk-SK"/>
        </w:rPr>
        <w:t xml:space="preserve"> programu prebiehalo v sledovanom období aj prostredníctvom sledovania a napĺňania hodnôt merateľných ukazovateľov programu</w:t>
      </w:r>
      <w:r w:rsidR="00214154">
        <w:rPr>
          <w:rFonts w:ascii="Times New Roman" w:eastAsia="Times New Roman" w:hAnsi="Times New Roman" w:cs="Times New Roman"/>
          <w:color w:val="auto"/>
          <w:lang w:eastAsia="sk-SK"/>
        </w:rPr>
        <w:t>, ktorých hodnoty sú uvedené v tabuľke</w:t>
      </w:r>
      <w:r w:rsidR="00214154" w:rsidRPr="00214154">
        <w:rPr>
          <w:rFonts w:ascii="Times New Roman" w:eastAsia="Times New Roman" w:hAnsi="Times New Roman" w:cs="Times New Roman"/>
          <w:color w:val="auto"/>
          <w:lang w:eastAsia="sk-SK"/>
        </w:rPr>
        <w:t xml:space="preserve"> č.1</w:t>
      </w:r>
      <w:r w:rsidR="000C4388">
        <w:rPr>
          <w:rFonts w:ascii="Times New Roman" w:eastAsia="Times New Roman" w:hAnsi="Times New Roman" w:cs="Times New Roman"/>
          <w:color w:val="auto"/>
          <w:lang w:eastAsia="sk-SK"/>
        </w:rPr>
        <w:t xml:space="preserve"> a č. 3A. </w:t>
      </w:r>
      <w:r w:rsidR="00214154">
        <w:rPr>
          <w:rFonts w:ascii="Times New Roman" w:eastAsia="Times New Roman" w:hAnsi="Times New Roman" w:cs="Times New Roman"/>
          <w:color w:val="auto"/>
          <w:lang w:eastAsia="sk-SK"/>
        </w:rPr>
        <w:t>Ukazovatele výsledku programu</w:t>
      </w:r>
      <w:r w:rsidR="005145BE">
        <w:rPr>
          <w:rFonts w:ascii="Times New Roman" w:eastAsia="Times New Roman" w:hAnsi="Times New Roman" w:cs="Times New Roman"/>
          <w:color w:val="auto"/>
          <w:lang w:eastAsia="sk-SK"/>
        </w:rPr>
        <w:t xml:space="preserve"> (ďalej aj „UVP“)</w:t>
      </w:r>
      <w:r w:rsidR="00214154">
        <w:rPr>
          <w:rFonts w:ascii="Times New Roman" w:eastAsia="Times New Roman" w:hAnsi="Times New Roman" w:cs="Times New Roman"/>
          <w:color w:val="auto"/>
          <w:lang w:eastAsia="sk-SK"/>
        </w:rPr>
        <w:t xml:space="preserve"> prispievajú k napĺňaniu </w:t>
      </w:r>
      <w:r w:rsidR="00C72A5A">
        <w:rPr>
          <w:rFonts w:ascii="Times New Roman" w:eastAsia="Times New Roman" w:hAnsi="Times New Roman" w:cs="Times New Roman"/>
          <w:color w:val="auto"/>
          <w:lang w:eastAsia="sk-SK"/>
        </w:rPr>
        <w:t xml:space="preserve">ŠC </w:t>
      </w:r>
      <w:r w:rsidR="00214154">
        <w:rPr>
          <w:rFonts w:ascii="Times New Roman" w:eastAsia="Times New Roman" w:hAnsi="Times New Roman" w:cs="Times New Roman"/>
          <w:color w:val="auto"/>
          <w:lang w:eastAsia="sk-SK"/>
        </w:rPr>
        <w:t xml:space="preserve">nasledovne: ukazovateľ R0149 k ŠC </w:t>
      </w:r>
      <w:r w:rsidR="000C4388">
        <w:rPr>
          <w:rFonts w:ascii="Times New Roman" w:eastAsia="Times New Roman" w:hAnsi="Times New Roman" w:cs="Times New Roman"/>
          <w:color w:val="auto"/>
          <w:lang w:eastAsia="sk-SK"/>
        </w:rPr>
        <w:t>1, R0150 k ŠC 2, R0151, R0152 a R0153 k ŠC 3. Všetky uvedené ukazovatele sú sledované v rámci prioritnej</w:t>
      </w:r>
      <w:r w:rsidR="00214154">
        <w:rPr>
          <w:rFonts w:ascii="Times New Roman" w:eastAsia="Times New Roman" w:hAnsi="Times New Roman" w:cs="Times New Roman"/>
          <w:color w:val="auto"/>
          <w:lang w:eastAsia="sk-SK"/>
        </w:rPr>
        <w:t xml:space="preserve"> </w:t>
      </w:r>
      <w:r w:rsidR="000C4388">
        <w:rPr>
          <w:rFonts w:ascii="Times New Roman" w:eastAsia="Times New Roman" w:hAnsi="Times New Roman" w:cs="Times New Roman"/>
          <w:color w:val="auto"/>
          <w:lang w:eastAsia="sk-SK"/>
        </w:rPr>
        <w:t xml:space="preserve">osi 1. Ukazovatele výsledku programu č. R0154 a R0155 prispievajú k napĺňaniu </w:t>
      </w:r>
      <w:r w:rsidR="00C72A5A">
        <w:rPr>
          <w:rFonts w:ascii="Times New Roman" w:eastAsia="Times New Roman" w:hAnsi="Times New Roman" w:cs="Times New Roman"/>
          <w:color w:val="auto"/>
          <w:lang w:eastAsia="sk-SK"/>
        </w:rPr>
        <w:t>ŠC</w:t>
      </w:r>
      <w:r w:rsidR="000C4388">
        <w:rPr>
          <w:rFonts w:ascii="Times New Roman" w:eastAsia="Times New Roman" w:hAnsi="Times New Roman" w:cs="Times New Roman"/>
          <w:color w:val="auto"/>
          <w:lang w:eastAsia="sk-SK"/>
        </w:rPr>
        <w:t xml:space="preserve"> 1 v rámci prioritnej osi 2.</w:t>
      </w:r>
      <w:r w:rsidR="005145BE">
        <w:rPr>
          <w:rFonts w:ascii="Times New Roman" w:eastAsia="Times New Roman" w:hAnsi="Times New Roman" w:cs="Times New Roman"/>
          <w:color w:val="auto"/>
          <w:lang w:eastAsia="sk-SK"/>
        </w:rPr>
        <w:t xml:space="preserve"> Pri UVP R0150, R151 a R153 neboli merané žiadne hodnoty. V </w:t>
      </w:r>
      <w:r w:rsidR="006A2A87">
        <w:rPr>
          <w:rFonts w:ascii="Times New Roman" w:eastAsia="Times New Roman" w:hAnsi="Times New Roman" w:cs="Times New Roman"/>
          <w:color w:val="auto"/>
          <w:lang w:eastAsia="sk-SK"/>
        </w:rPr>
        <w:t>prípade UVP R0149, R0152 a R0155</w:t>
      </w:r>
      <w:r w:rsidR="005145BE">
        <w:rPr>
          <w:rFonts w:ascii="Times New Roman" w:eastAsia="Times New Roman" w:hAnsi="Times New Roman" w:cs="Times New Roman"/>
          <w:color w:val="auto"/>
          <w:lang w:eastAsia="sk-SK"/>
        </w:rPr>
        <w:t xml:space="preserve"> boli hodnoty prekročené. Hodnoty pri UVP R0154 neboli hodnoty dosiahnuté. B</w:t>
      </w:r>
      <w:r w:rsidR="00D700DF">
        <w:rPr>
          <w:rFonts w:ascii="Times New Roman" w:eastAsia="Times New Roman" w:hAnsi="Times New Roman" w:cs="Times New Roman"/>
          <w:color w:val="auto"/>
          <w:lang w:eastAsia="sk-SK"/>
        </w:rPr>
        <w:t xml:space="preserve">ližšie zdôvodnenie spomínaných stavov uvedených ukazovateľov </w:t>
      </w:r>
      <w:r w:rsidR="00417478">
        <w:rPr>
          <w:rFonts w:ascii="Times New Roman" w:eastAsia="Times New Roman" w:hAnsi="Times New Roman" w:cs="Times New Roman"/>
          <w:color w:val="auto"/>
          <w:lang w:eastAsia="sk-SK"/>
        </w:rPr>
        <w:t xml:space="preserve">je </w:t>
      </w:r>
      <w:r w:rsidR="00D700DF">
        <w:rPr>
          <w:rFonts w:ascii="Times New Roman" w:eastAsia="Times New Roman" w:hAnsi="Times New Roman" w:cs="Times New Roman"/>
          <w:color w:val="auto"/>
          <w:lang w:eastAsia="sk-SK"/>
        </w:rPr>
        <w:t>opísané v časti B v kapitole I.11.1</w:t>
      </w:r>
      <w:r w:rsidR="00417478">
        <w:rPr>
          <w:rFonts w:ascii="Times New Roman" w:eastAsia="Times New Roman" w:hAnsi="Times New Roman" w:cs="Times New Roman"/>
          <w:color w:val="auto"/>
          <w:lang w:eastAsia="sk-SK"/>
        </w:rPr>
        <w:t>. Názvy ukazovateľov výsledku  programu sú uvedené v tabuľke 1, ako aj v spomínanej kapitole I.11.1.</w:t>
      </w:r>
    </w:p>
    <w:p w:rsidR="006A6268" w:rsidRPr="00E9160E" w:rsidRDefault="006A6268" w:rsidP="004B4303">
      <w:pPr>
        <w:pStyle w:val="MPCKO3"/>
        <w:rPr>
          <w:rFonts w:eastAsia="EUAlbertina-Regular-Identity-H"/>
        </w:rPr>
      </w:pPr>
      <w:bookmarkStart w:id="8" w:name="_Toc482173540"/>
      <w:r>
        <w:t>I.</w:t>
      </w:r>
      <w:r w:rsidRPr="00AA7D81">
        <w:t>3. Implementácia prioritnej osi</w:t>
      </w:r>
      <w:bookmarkEnd w:id="8"/>
    </w:p>
    <w:p w:rsidR="006A6268" w:rsidRDefault="006A6268" w:rsidP="00A008C3">
      <w:pPr>
        <w:pStyle w:val="MPCKO4"/>
      </w:pPr>
      <w:bookmarkStart w:id="9" w:name="_Toc482173541"/>
      <w:r>
        <w:t>I.</w:t>
      </w:r>
      <w:r w:rsidRPr="00AA7D81">
        <w:t>3.1 Prehľad</w:t>
      </w:r>
      <w:r>
        <w:t xml:space="preserve"> o</w:t>
      </w:r>
      <w:r w:rsidR="00D94877">
        <w:t> </w:t>
      </w:r>
      <w:r>
        <w:t>vykonávaní</w:t>
      </w:r>
      <w:bookmarkEnd w:id="9"/>
    </w:p>
    <w:p w:rsidR="006A6268" w:rsidRDefault="006A6268" w:rsidP="006A626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2894"/>
        <w:gridCol w:w="5080"/>
      </w:tblGrid>
      <w:tr w:rsidR="006A6268" w:rsidRPr="00C830FC" w:rsidTr="00BF1FE1">
        <w:tc>
          <w:tcPr>
            <w:tcW w:w="1101" w:type="dxa"/>
            <w:shd w:val="clear" w:color="auto" w:fill="B8CCE4" w:themeFill="accent1" w:themeFillTint="66"/>
            <w:vAlign w:val="center"/>
          </w:tcPr>
          <w:p w:rsidR="006A6268" w:rsidRPr="00C830FC" w:rsidRDefault="006A6268" w:rsidP="009E2C21">
            <w:pPr>
              <w:autoSpaceDE w:val="0"/>
              <w:autoSpaceDN w:val="0"/>
              <w:adjustRightInd w:val="0"/>
              <w:jc w:val="center"/>
              <w:rPr>
                <w:rFonts w:eastAsia="EUAlbertina-Regular-Identity-H"/>
                <w:b/>
              </w:rPr>
            </w:pPr>
            <w:r w:rsidRPr="00C830FC">
              <w:rPr>
                <w:rFonts w:eastAsia="EUAlbertina-Regular-Identity-H"/>
                <w:b/>
              </w:rPr>
              <w:t>ID</w:t>
            </w:r>
          </w:p>
        </w:tc>
        <w:tc>
          <w:tcPr>
            <w:tcW w:w="2976" w:type="dxa"/>
            <w:shd w:val="clear" w:color="auto" w:fill="B8CCE4" w:themeFill="accent1" w:themeFillTint="66"/>
            <w:vAlign w:val="center"/>
          </w:tcPr>
          <w:p w:rsidR="006A6268" w:rsidRPr="00C830FC" w:rsidRDefault="006A6268" w:rsidP="009E2C21">
            <w:pPr>
              <w:autoSpaceDE w:val="0"/>
              <w:autoSpaceDN w:val="0"/>
              <w:adjustRightInd w:val="0"/>
              <w:jc w:val="center"/>
              <w:rPr>
                <w:rFonts w:eastAsia="EUAlbertina-Regular-Identity-H"/>
                <w:b/>
              </w:rPr>
            </w:pPr>
            <w:r w:rsidRPr="00C830FC">
              <w:rPr>
                <w:rFonts w:eastAsia="EUAlbertina-Regular-Identity-H"/>
                <w:b/>
              </w:rPr>
              <w:t>Prioritná os</w:t>
            </w:r>
          </w:p>
        </w:tc>
        <w:tc>
          <w:tcPr>
            <w:tcW w:w="5211" w:type="dxa"/>
            <w:shd w:val="clear" w:color="auto" w:fill="B8CCE4" w:themeFill="accent1" w:themeFillTint="66"/>
            <w:vAlign w:val="center"/>
          </w:tcPr>
          <w:p w:rsidR="006A6268" w:rsidRPr="00C830FC" w:rsidRDefault="006A6268" w:rsidP="009E2C21">
            <w:pPr>
              <w:autoSpaceDE w:val="0"/>
              <w:autoSpaceDN w:val="0"/>
              <w:adjustRightInd w:val="0"/>
              <w:jc w:val="center"/>
              <w:rPr>
                <w:rFonts w:eastAsia="EUAlbertina-Regular-Identity-H"/>
                <w:b/>
              </w:rPr>
            </w:pPr>
            <w:r w:rsidRPr="00C830FC">
              <w:rPr>
                <w:rFonts w:eastAsia="EUAlbertina-Regular-Identity-H"/>
                <w:b/>
              </w:rPr>
              <w:t>Kľúčové informácie o vykonávaní prioritných osí s odkazom na kľúčové prvky vývoja, závažné problémy a opatrenia prijaté na riešenie týchto problémov</w:t>
            </w:r>
          </w:p>
        </w:tc>
      </w:tr>
      <w:tr w:rsidR="006A6268" w:rsidRPr="00966C33" w:rsidTr="00BF1FE1">
        <w:trPr>
          <w:trHeight w:val="378"/>
        </w:trPr>
        <w:tc>
          <w:tcPr>
            <w:tcW w:w="1101" w:type="dxa"/>
            <w:shd w:val="clear" w:color="auto" w:fill="auto"/>
            <w:vAlign w:val="center"/>
          </w:tcPr>
          <w:p w:rsidR="006A6268" w:rsidRPr="00966C33" w:rsidRDefault="006A6268" w:rsidP="009E2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301010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6268" w:rsidRPr="00966C33" w:rsidRDefault="006A6268" w:rsidP="009E2C21">
            <w:pPr>
              <w:rPr>
                <w:sz w:val="20"/>
                <w:szCs w:val="20"/>
              </w:rPr>
            </w:pPr>
            <w:r w:rsidRPr="00966C33">
              <w:rPr>
                <w:sz w:val="20"/>
                <w:szCs w:val="20"/>
              </w:rPr>
              <w:t>PO 1:  Riadenie, kontrola a audit EŠIF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6A6268" w:rsidRPr="00087513" w:rsidRDefault="00D436BC" w:rsidP="005130A9">
            <w:pPr>
              <w:jc w:val="both"/>
              <w:rPr>
                <w:sz w:val="20"/>
                <w:szCs w:val="20"/>
              </w:rPr>
            </w:pPr>
            <w:r w:rsidRPr="00087513">
              <w:t xml:space="preserve">V sledovanom období bolo v rámci prioritnej osi 1. vyhlásených 9 vyzvaní. Dve vyzvania boli zamerané na refundáciu miezd zamestnancov zapojených do koordinácie, riadenia, finančného riadenia, kontroly a auditu EŠIF, ďalšie vyzvania boli zamerané na implementovanie správneho </w:t>
            </w:r>
            <w:r w:rsidR="00A1107E">
              <w:br/>
            </w:r>
            <w:r w:rsidRPr="00087513">
              <w:t xml:space="preserve">a transparentného systém riadenia, kontroly </w:t>
            </w:r>
            <w:r w:rsidR="00A1107E">
              <w:br/>
            </w:r>
            <w:r w:rsidRPr="00087513">
              <w:t xml:space="preserve">a auditu EŠIF, na vytvorenie a prevádzkovanie integrovaných sietí informačno-poradenských centier,  na zavedenie a realizáciu centrálneho plánu vzdelávania, </w:t>
            </w:r>
            <w:r w:rsidR="007067C3" w:rsidRPr="00087513">
              <w:t xml:space="preserve">na </w:t>
            </w:r>
            <w:r w:rsidRPr="00087513">
              <w:t xml:space="preserve"> </w:t>
            </w:r>
            <w:r w:rsidR="007067C3" w:rsidRPr="00087513">
              <w:t xml:space="preserve">realizáciu aktivít pre zabezpečenie informovania a publicity, na oblasť špecifického vzdelávania AK EŠIF, na zabezpečenie technickej a administratívnej podpory a na prípravu nových kapacít pre EŠIF. </w:t>
            </w:r>
            <w:r w:rsidR="00382B1B" w:rsidRPr="00087513">
              <w:t xml:space="preserve">V roku 2016 nastal pokrok v kontrahovaní a čerpaní alokovaných finančných prostriedkov OP TP v rámci prioritnej osi 1. Celkovo bolo v roku 2016 kontrahovaných </w:t>
            </w:r>
            <w:r w:rsidR="005F7A79" w:rsidRPr="00087513">
              <w:t>28</w:t>
            </w:r>
            <w:r w:rsidR="00382B1B" w:rsidRPr="00087513">
              <w:t xml:space="preserve"> projektov v celkovej výške </w:t>
            </w:r>
            <w:r w:rsidR="005F7A79" w:rsidRPr="00087513">
              <w:t xml:space="preserve">53 </w:t>
            </w:r>
            <w:r w:rsidR="005F7A79" w:rsidRPr="00087513">
              <w:lastRenderedPageBreak/>
              <w:t>793</w:t>
            </w:r>
            <w:r w:rsidR="00852AD6" w:rsidRPr="00087513">
              <w:t> </w:t>
            </w:r>
            <w:r w:rsidR="005F7A79" w:rsidRPr="00087513">
              <w:t>487</w:t>
            </w:r>
            <w:r w:rsidR="00852AD6" w:rsidRPr="00087513">
              <w:t>,00</w:t>
            </w:r>
            <w:r w:rsidR="00382B1B" w:rsidRPr="00087513">
              <w:t xml:space="preserve"> Eur za zdroj EÚ (</w:t>
            </w:r>
            <w:r w:rsidR="005F7A79" w:rsidRPr="00087513">
              <w:t>47</w:t>
            </w:r>
            <w:r w:rsidR="00382B1B" w:rsidRPr="00087513">
              <w:t xml:space="preserve"> % z alokácie OP TP</w:t>
            </w:r>
            <w:r w:rsidR="005F7A79" w:rsidRPr="00087513">
              <w:t xml:space="preserve"> na prioritnú os 1</w:t>
            </w:r>
            <w:r w:rsidR="00382B1B" w:rsidRPr="00087513">
              <w:t xml:space="preserve">). V roku 2016 oprávnení prijímatelia predložili </w:t>
            </w:r>
            <w:r w:rsidR="000C11B0" w:rsidRPr="00087513">
              <w:t>ŽoP</w:t>
            </w:r>
            <w:r w:rsidR="00382B1B" w:rsidRPr="00087513">
              <w:t xml:space="preserve"> (refundácia, zúčtovanie zálohy a zúčtovanie predfinancovani</w:t>
            </w:r>
            <w:r w:rsidR="00852AD6" w:rsidRPr="00087513">
              <w:t>a) celkovo vo výške 11 580 733,00</w:t>
            </w:r>
            <w:r w:rsidR="00382B1B" w:rsidRPr="00087513">
              <w:t xml:space="preserve"> Eur, pričom čerpanie bolo dosiahnuté vo výške </w:t>
            </w:r>
            <w:r w:rsidR="005A2E76" w:rsidRPr="00087513">
              <w:t>6 497</w:t>
            </w:r>
            <w:r w:rsidR="005159AE" w:rsidRPr="00087513">
              <w:t> </w:t>
            </w:r>
            <w:r w:rsidR="005A2E76" w:rsidRPr="00087513">
              <w:t>355</w:t>
            </w:r>
            <w:r w:rsidR="005159AE" w:rsidRPr="00087513">
              <w:t>,15 Eur za zdroj EÚ (5,68</w:t>
            </w:r>
            <w:r w:rsidR="00382B1B" w:rsidRPr="00087513">
              <w:t>% z alokácie OP TP</w:t>
            </w:r>
            <w:r w:rsidR="005159AE" w:rsidRPr="00087513">
              <w:t xml:space="preserve"> na prioritnú os 1</w:t>
            </w:r>
            <w:r w:rsidR="00382B1B" w:rsidRPr="00087513">
              <w:t>). Pokrok v kontrahovaní a čerpaní považuje RO OP TP za dostačujúci a očakávaný, najmä v nadväznosti kontinuity vyhlásených vyzvaní a následného procesu implementácie jednotlivých projektov</w:t>
            </w:r>
            <w:r w:rsidR="007067C3" w:rsidRPr="00087513">
              <w:t>.</w:t>
            </w:r>
            <w:r w:rsidR="00FB39B4" w:rsidRPr="00087513">
              <w:t xml:space="preserve"> </w:t>
            </w:r>
            <w:r w:rsidR="00D700DF" w:rsidRPr="00087513">
              <w:t xml:space="preserve">Merateľné ukazovatele výstupu programu, ktoré sú agregované prostredníctvom </w:t>
            </w:r>
            <w:r w:rsidR="00BD3AD8" w:rsidRPr="00087513">
              <w:t>prislúchajúcich</w:t>
            </w:r>
            <w:r w:rsidR="00D700DF" w:rsidRPr="00087513">
              <w:t xml:space="preserve"> projektových ukazovateľov výstupu</w:t>
            </w:r>
            <w:r w:rsidR="00BD3AD8" w:rsidRPr="00087513">
              <w:t>,</w:t>
            </w:r>
            <w:r w:rsidR="00D700DF" w:rsidRPr="00087513">
              <w:t xml:space="preserve"> boli napĺňané priebežne vzhľadom na pokročilosť implementácie programu a jednotlivých projektov. </w:t>
            </w:r>
            <w:r w:rsidR="00BD3AD8" w:rsidRPr="00087513">
              <w:t>Zdôvodnenie</w:t>
            </w:r>
            <w:r w:rsidR="00D700DF" w:rsidRPr="00087513">
              <w:t xml:space="preserve"> plnenia cieľov programu prostredníctvom</w:t>
            </w:r>
            <w:r w:rsidR="00BD3AD8" w:rsidRPr="00087513">
              <w:t xml:space="preserve"> merateľných ukazovateľov</w:t>
            </w:r>
            <w:r w:rsidR="009900B8">
              <w:t xml:space="preserve"> </w:t>
            </w:r>
            <w:r w:rsidR="00D700DF" w:rsidRPr="00087513">
              <w:t>prioritnej osi 1</w:t>
            </w:r>
            <w:r w:rsidR="00BD3AD8" w:rsidRPr="00087513">
              <w:t xml:space="preserve"> je uveden</w:t>
            </w:r>
            <w:r w:rsidR="00843B9E">
              <w:t>é</w:t>
            </w:r>
            <w:r w:rsidR="00BD3AD8" w:rsidRPr="00087513">
              <w:t xml:space="preserve"> v kapitole I.11.1</w:t>
            </w:r>
            <w:r w:rsidR="00AC64E9">
              <w:t xml:space="preserve">. </w:t>
            </w:r>
            <w:r w:rsidR="00BD3AD8" w:rsidRPr="00087513">
              <w:t xml:space="preserve">  </w:t>
            </w:r>
          </w:p>
        </w:tc>
      </w:tr>
      <w:tr w:rsidR="006A6268" w:rsidRPr="00966C33" w:rsidTr="00BF1FE1">
        <w:trPr>
          <w:trHeight w:val="378"/>
        </w:trPr>
        <w:tc>
          <w:tcPr>
            <w:tcW w:w="1101" w:type="dxa"/>
            <w:shd w:val="clear" w:color="auto" w:fill="auto"/>
            <w:vAlign w:val="center"/>
          </w:tcPr>
          <w:p w:rsidR="006A6268" w:rsidRPr="00966C33" w:rsidRDefault="006A6268" w:rsidP="009E2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301020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6A6268" w:rsidRPr="005D093C" w:rsidRDefault="006A6268" w:rsidP="009E2C21">
            <w:pPr>
              <w:rPr>
                <w:sz w:val="20"/>
                <w:szCs w:val="20"/>
              </w:rPr>
            </w:pPr>
            <w:r w:rsidRPr="005D093C">
              <w:rPr>
                <w:sz w:val="20"/>
                <w:szCs w:val="20"/>
              </w:rPr>
              <w:t>PO 2: Systémová a technická podpora</w:t>
            </w:r>
          </w:p>
        </w:tc>
        <w:tc>
          <w:tcPr>
            <w:tcW w:w="5211" w:type="dxa"/>
            <w:shd w:val="clear" w:color="auto" w:fill="auto"/>
            <w:vAlign w:val="center"/>
          </w:tcPr>
          <w:p w:rsidR="006A6268" w:rsidRPr="00087513" w:rsidRDefault="007067C3" w:rsidP="00D45DE4">
            <w:pPr>
              <w:jc w:val="both"/>
              <w:rPr>
                <w:sz w:val="20"/>
                <w:szCs w:val="20"/>
              </w:rPr>
            </w:pPr>
            <w:r w:rsidRPr="00087513">
              <w:t>V sledovanom obdo</w:t>
            </w:r>
            <w:r w:rsidR="005A6907" w:rsidRPr="00087513">
              <w:t>bí boli</w:t>
            </w:r>
            <w:r w:rsidRPr="00087513">
              <w:t xml:space="preserve"> v rámci prioritnej osi 2. vyhlásené 2 vyzvania zamerané na vývoj </w:t>
            </w:r>
            <w:r w:rsidR="00A1107E">
              <w:br/>
            </w:r>
            <w:r w:rsidRPr="00087513">
              <w:t xml:space="preserve">a prevádzku informačných systémov pre monitorovanie EŠIF a na materiálno-technické zabezpečenie a mobilitu subjektov zapojených do EŠIF a informačno-komunikačné technológie. </w:t>
            </w:r>
            <w:r w:rsidR="00A1107E">
              <w:br/>
            </w:r>
            <w:r w:rsidR="005159AE" w:rsidRPr="00087513">
              <w:t xml:space="preserve">V roku 2016 nastal pokrok v kontrahovaní </w:t>
            </w:r>
            <w:r w:rsidR="00A1107E">
              <w:br/>
            </w:r>
            <w:r w:rsidR="005159AE" w:rsidRPr="00087513">
              <w:t>a čerpaní alokovaných finančných prostriedkov OP TP v rámci prioritnej osi 2. Celkovo bol</w:t>
            </w:r>
            <w:r w:rsidR="00843B9E">
              <w:t>i</w:t>
            </w:r>
            <w:r w:rsidR="005159AE" w:rsidRPr="00087513">
              <w:t xml:space="preserve"> v roku 2016 kontrahované </w:t>
            </w:r>
            <w:r w:rsidR="00417478">
              <w:t>3</w:t>
            </w:r>
            <w:r w:rsidR="005159AE" w:rsidRPr="00087513">
              <w:t xml:space="preserve"> projekty v celkovej výške </w:t>
            </w:r>
            <w:r w:rsidR="00A1107E">
              <w:br/>
            </w:r>
            <w:r w:rsidR="005159AE" w:rsidRPr="00087513">
              <w:t xml:space="preserve">1 951 348,23 Eur za zdroj EÚ (4,37 % z alokácie OP TP na prioritnú os 2). V roku 2016 oprávnení prijímatelia predložili </w:t>
            </w:r>
            <w:r w:rsidR="000C11B0" w:rsidRPr="00087513">
              <w:t xml:space="preserve">ŽoP </w:t>
            </w:r>
            <w:r w:rsidR="005159AE" w:rsidRPr="00087513">
              <w:t>(refundácia, zúčtovanie zálohy a zúčtovanie predfinancovania) celkovo vo výške 442 162,14 Eur, pričom čerpanie bolo dosiahnuté vo výške 226 392,05 Eur za zdroj EÚ (</w:t>
            </w:r>
            <w:r w:rsidR="004359A6" w:rsidRPr="00087513">
              <w:t>0,51</w:t>
            </w:r>
            <w:r w:rsidR="005159AE" w:rsidRPr="00087513">
              <w:t>% z alokácie OP</w:t>
            </w:r>
            <w:r w:rsidR="004359A6" w:rsidRPr="00087513">
              <w:t xml:space="preserve"> TP na prioritnú os 2</w:t>
            </w:r>
            <w:r w:rsidR="005159AE" w:rsidRPr="00087513">
              <w:t xml:space="preserve">). Pokrok v kontrahovaní a čerpaní považuje RO OP TP za dostačujúci a očakávaný, najmä v nadväznosti kontinuity vyhlásených vyzvaní a následného procesu implementácie jednotlivých projektov. </w:t>
            </w:r>
            <w:r w:rsidR="00BD3AD8" w:rsidRPr="00087513">
              <w:t>Merateľné ukazovatele výstupu programu, ktoré sú agregované prostredníctvom jednotlivých projektových ukazovateľov výstupu, boli napĺňané priebežne vzhľadom na pokročilosť implementácie programu a jednotlivých projektov. Zdôvodnenie plnenia cieľov programu prostredníctvom merateľných ukazovateľov</w:t>
            </w:r>
            <w:r w:rsidR="009900B8">
              <w:t xml:space="preserve"> </w:t>
            </w:r>
            <w:r w:rsidR="00BD3AD8" w:rsidRPr="00087513">
              <w:t xml:space="preserve">prioritnej osi </w:t>
            </w:r>
            <w:r w:rsidR="009900B8">
              <w:t>2</w:t>
            </w:r>
            <w:r w:rsidR="00BD3AD8" w:rsidRPr="00087513">
              <w:t xml:space="preserve"> je uveden</w:t>
            </w:r>
            <w:r w:rsidR="00937F20">
              <w:t>é</w:t>
            </w:r>
            <w:r w:rsidR="00BD3AD8" w:rsidRPr="00087513">
              <w:t xml:space="preserve"> v kapitole I.11.1</w:t>
            </w:r>
            <w:r w:rsidR="009A60D1">
              <w:t>.</w:t>
            </w:r>
            <w:r w:rsidR="00BD3AD8" w:rsidRPr="00087513">
              <w:t xml:space="preserve">  </w:t>
            </w:r>
          </w:p>
        </w:tc>
      </w:tr>
    </w:tbl>
    <w:p w:rsidR="006A6268" w:rsidRDefault="006A6268" w:rsidP="006A6268">
      <w:pPr>
        <w:jc w:val="both"/>
      </w:pPr>
    </w:p>
    <w:p w:rsidR="00222275" w:rsidRPr="006A6268" w:rsidRDefault="00222275" w:rsidP="00222275">
      <w:pPr>
        <w:pStyle w:val="MPCKO4"/>
      </w:pPr>
      <w:bookmarkStart w:id="10" w:name="_Toc482173542"/>
      <w:r>
        <w:rPr>
          <w:rFonts w:eastAsiaTheme="minorHAnsi"/>
        </w:rPr>
        <w:lastRenderedPageBreak/>
        <w:t>I.</w:t>
      </w:r>
      <w:r w:rsidRPr="00AA7D81">
        <w:rPr>
          <w:rFonts w:eastAsiaTheme="minorHAnsi"/>
        </w:rPr>
        <w:t>3.2 Spoločné a programovo špecifické ukazovatele</w:t>
      </w:r>
      <w:bookmarkEnd w:id="10"/>
    </w:p>
    <w:p w:rsidR="00222275" w:rsidRDefault="00222275" w:rsidP="00222275">
      <w:pPr>
        <w:spacing w:after="200" w:line="276" w:lineRule="auto"/>
        <w:rPr>
          <w:rFonts w:eastAsiaTheme="minorHAnsi"/>
          <w:b/>
        </w:rPr>
      </w:pPr>
      <w:r w:rsidRPr="00AA7D81">
        <w:rPr>
          <w:rFonts w:eastAsiaTheme="minorHAnsi"/>
          <w:b/>
        </w:rPr>
        <w:t>Tabuľka 1 Ukazovatele výsledku pre EF</w:t>
      </w:r>
      <w:r>
        <w:rPr>
          <w:rFonts w:eastAsiaTheme="minorHAnsi"/>
          <w:b/>
        </w:rPr>
        <w:t>RR</w:t>
      </w:r>
      <w:r w:rsidRPr="00AA7D81">
        <w:rPr>
          <w:rFonts w:eastAsiaTheme="minorHAnsi"/>
          <w:b/>
        </w:rPr>
        <w:t xml:space="preserve"> a KF v rozdelení na pr</w:t>
      </w:r>
      <w:r>
        <w:rPr>
          <w:rFonts w:eastAsiaTheme="minorHAnsi"/>
          <w:b/>
        </w:rPr>
        <w:t>ioritné osi</w:t>
      </w:r>
      <w:r w:rsidR="00A008C3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a špecifické ciele</w:t>
      </w:r>
    </w:p>
    <w:tbl>
      <w:tblPr>
        <w:tblW w:w="10207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1011"/>
        <w:gridCol w:w="888"/>
        <w:gridCol w:w="888"/>
        <w:gridCol w:w="1255"/>
        <w:gridCol w:w="1254"/>
        <w:gridCol w:w="318"/>
        <w:gridCol w:w="318"/>
        <w:gridCol w:w="318"/>
        <w:gridCol w:w="252"/>
        <w:gridCol w:w="252"/>
        <w:gridCol w:w="252"/>
        <w:gridCol w:w="252"/>
        <w:gridCol w:w="252"/>
        <w:gridCol w:w="277"/>
        <w:gridCol w:w="296"/>
        <w:gridCol w:w="296"/>
        <w:gridCol w:w="289"/>
        <w:gridCol w:w="895"/>
      </w:tblGrid>
      <w:tr w:rsidR="00EE130D" w:rsidRPr="0088274D" w:rsidTr="00087513">
        <w:trPr>
          <w:cantSplit/>
          <w:trHeight w:val="525"/>
        </w:trPr>
        <w:tc>
          <w:tcPr>
            <w:tcW w:w="644" w:type="dxa"/>
            <w:shd w:val="clear" w:color="auto" w:fill="B8CCE4" w:themeFill="accent1" w:themeFillTint="66"/>
            <w:vAlign w:val="center"/>
          </w:tcPr>
          <w:p w:rsidR="00EE130D" w:rsidRPr="0088274D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88274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011" w:type="dxa"/>
            <w:shd w:val="clear" w:color="auto" w:fill="B8CCE4" w:themeFill="accent1" w:themeFillTint="66"/>
            <w:vAlign w:val="center"/>
          </w:tcPr>
          <w:p w:rsidR="00EE130D" w:rsidRPr="0088274D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88274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888" w:type="dxa"/>
            <w:shd w:val="clear" w:color="auto" w:fill="B8CCE4" w:themeFill="accent1" w:themeFillTint="66"/>
            <w:vAlign w:val="center"/>
          </w:tcPr>
          <w:p w:rsidR="00EE130D" w:rsidRPr="0088274D" w:rsidRDefault="00EE130D" w:rsidP="00D118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8274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888" w:type="dxa"/>
            <w:shd w:val="clear" w:color="auto" w:fill="B8CCE4" w:themeFill="accent1" w:themeFillTint="66"/>
            <w:vAlign w:val="center"/>
          </w:tcPr>
          <w:p w:rsidR="00EE130D" w:rsidRPr="0088274D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88274D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255" w:type="dxa"/>
            <w:shd w:val="clear" w:color="auto" w:fill="B8CCE4" w:themeFill="accent1" w:themeFillTint="66"/>
            <w:vAlign w:val="center"/>
          </w:tcPr>
          <w:p w:rsidR="00EE130D" w:rsidRPr="0088274D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88274D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1254" w:type="dxa"/>
            <w:shd w:val="clear" w:color="auto" w:fill="B8CCE4" w:themeFill="accent1" w:themeFillTint="66"/>
            <w:vAlign w:val="center"/>
          </w:tcPr>
          <w:p w:rsidR="00EE130D" w:rsidRPr="0088274D" w:rsidRDefault="00EE130D" w:rsidP="00D11894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88274D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954" w:type="dxa"/>
            <w:gridSpan w:val="3"/>
            <w:shd w:val="clear" w:color="auto" w:fill="B8CCE4" w:themeFill="accent1" w:themeFillTint="66"/>
            <w:vAlign w:val="center"/>
          </w:tcPr>
          <w:p w:rsidR="00EE130D" w:rsidRPr="0088274D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b/>
                <w:sz w:val="18"/>
                <w:szCs w:val="18"/>
              </w:rPr>
            </w:pPr>
            <w:r w:rsidRPr="0088274D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1537" w:type="dxa"/>
            <w:gridSpan w:val="6"/>
            <w:shd w:val="clear" w:color="auto" w:fill="B8CCE4" w:themeFill="accent1" w:themeFillTint="66"/>
            <w:vAlign w:val="center"/>
          </w:tcPr>
          <w:p w:rsidR="00EE130D" w:rsidRPr="0088274D" w:rsidRDefault="00EE130D" w:rsidP="00D118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88274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81" w:type="dxa"/>
            <w:gridSpan w:val="3"/>
            <w:shd w:val="clear" w:color="auto" w:fill="B8CCE4" w:themeFill="accent1" w:themeFillTint="66"/>
          </w:tcPr>
          <w:p w:rsidR="002877FA" w:rsidRDefault="002877FA" w:rsidP="00D11894">
            <w:pPr>
              <w:jc w:val="center"/>
              <w:rPr>
                <w:b/>
                <w:sz w:val="16"/>
                <w:szCs w:val="16"/>
              </w:rPr>
            </w:pPr>
          </w:p>
          <w:p w:rsidR="00EE130D" w:rsidRDefault="002877FA" w:rsidP="00D118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895" w:type="dxa"/>
            <w:shd w:val="clear" w:color="auto" w:fill="B8CCE4" w:themeFill="accent1" w:themeFillTint="66"/>
            <w:vAlign w:val="center"/>
          </w:tcPr>
          <w:p w:rsidR="00EE130D" w:rsidRPr="0088274D" w:rsidRDefault="002877FA" w:rsidP="00D1189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EE130D">
              <w:rPr>
                <w:b/>
                <w:sz w:val="16"/>
                <w:szCs w:val="16"/>
              </w:rPr>
              <w:t>.</w:t>
            </w:r>
          </w:p>
        </w:tc>
      </w:tr>
      <w:tr w:rsidR="00EE130D" w:rsidRPr="00615891" w:rsidTr="00087513">
        <w:trPr>
          <w:cantSplit/>
          <w:trHeight w:val="1131"/>
        </w:trPr>
        <w:tc>
          <w:tcPr>
            <w:tcW w:w="644" w:type="dxa"/>
            <w:shd w:val="clear" w:color="auto" w:fill="B8CCE4" w:themeFill="accent1" w:themeFillTint="66"/>
            <w:vAlign w:val="center"/>
          </w:tcPr>
          <w:p w:rsidR="00EE130D" w:rsidRPr="00A008C3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en-US"/>
              </w:rPr>
              <w:t>ID</w:t>
            </w:r>
          </w:p>
        </w:tc>
        <w:tc>
          <w:tcPr>
            <w:tcW w:w="1011" w:type="dxa"/>
            <w:shd w:val="clear" w:color="auto" w:fill="B8CCE4" w:themeFill="accent1" w:themeFillTint="66"/>
            <w:vAlign w:val="center"/>
          </w:tcPr>
          <w:p w:rsidR="00EE130D" w:rsidRPr="00A008C3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en-US"/>
              </w:rPr>
              <w:t>Ukazovateľ  výsledku</w:t>
            </w:r>
          </w:p>
        </w:tc>
        <w:tc>
          <w:tcPr>
            <w:tcW w:w="888" w:type="dxa"/>
            <w:shd w:val="clear" w:color="auto" w:fill="B8CCE4" w:themeFill="accent1" w:themeFillTint="66"/>
            <w:vAlign w:val="center"/>
          </w:tcPr>
          <w:p w:rsidR="00EE130D" w:rsidRPr="00A008C3" w:rsidRDefault="00EE130D" w:rsidP="00D11894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en-US"/>
              </w:rPr>
              <w:t>Merná jednotka</w:t>
            </w:r>
          </w:p>
        </w:tc>
        <w:tc>
          <w:tcPr>
            <w:tcW w:w="888" w:type="dxa"/>
            <w:shd w:val="clear" w:color="auto" w:fill="B8CCE4" w:themeFill="accent1" w:themeFillTint="66"/>
            <w:vAlign w:val="center"/>
          </w:tcPr>
          <w:p w:rsidR="00EE130D" w:rsidRPr="00A008C3" w:rsidRDefault="00EE130D" w:rsidP="00A008C3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en-US"/>
              </w:rPr>
              <w:t>Kategória regiónu</w:t>
            </w:r>
          </w:p>
          <w:p w:rsidR="00EE130D" w:rsidRPr="00A008C3" w:rsidRDefault="00EE130D" w:rsidP="00A008C3">
            <w:pPr>
              <w:tabs>
                <w:tab w:val="left" w:pos="720"/>
              </w:tabs>
              <w:contextualSpacing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B8CCE4" w:themeFill="accent1" w:themeFillTint="66"/>
            <w:vAlign w:val="center"/>
          </w:tcPr>
          <w:p w:rsidR="00EE130D" w:rsidRPr="00A008C3" w:rsidRDefault="00EE130D" w:rsidP="00A008C3">
            <w:pPr>
              <w:tabs>
                <w:tab w:val="left" w:pos="720"/>
              </w:tabs>
              <w:contextualSpacing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en-US"/>
              </w:rPr>
              <w:t>Východisková hodnota</w:t>
            </w:r>
          </w:p>
        </w:tc>
        <w:tc>
          <w:tcPr>
            <w:tcW w:w="1254" w:type="dxa"/>
            <w:shd w:val="clear" w:color="auto" w:fill="B8CCE4" w:themeFill="accent1" w:themeFillTint="66"/>
            <w:vAlign w:val="center"/>
          </w:tcPr>
          <w:p w:rsidR="00EE130D" w:rsidRPr="00A008C3" w:rsidRDefault="00EE130D" w:rsidP="00D11894">
            <w:pPr>
              <w:snapToGrid w:val="0"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en-US"/>
              </w:rPr>
              <w:t>Východiskový rok</w:t>
            </w:r>
          </w:p>
        </w:tc>
        <w:tc>
          <w:tcPr>
            <w:tcW w:w="954" w:type="dxa"/>
            <w:gridSpan w:val="3"/>
            <w:shd w:val="clear" w:color="auto" w:fill="B8CCE4" w:themeFill="accent1" w:themeFillTint="66"/>
            <w:vAlign w:val="center"/>
          </w:tcPr>
          <w:p w:rsidR="00EE130D" w:rsidRPr="00A008C3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en-US"/>
              </w:rPr>
              <w:t>Cieľová hodnota (2023)</w:t>
            </w:r>
          </w:p>
        </w:tc>
        <w:tc>
          <w:tcPr>
            <w:tcW w:w="756" w:type="dxa"/>
            <w:gridSpan w:val="3"/>
            <w:shd w:val="clear" w:color="auto" w:fill="B8CCE4" w:themeFill="accent1" w:themeFillTint="66"/>
            <w:vAlign w:val="center"/>
          </w:tcPr>
          <w:p w:rsidR="00EE130D" w:rsidRPr="00A008C3" w:rsidRDefault="00EE130D" w:rsidP="00D11894">
            <w:pPr>
              <w:spacing w:after="200" w:line="276" w:lineRule="auto"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de-DE"/>
              </w:rPr>
              <w:t>2014</w:t>
            </w:r>
          </w:p>
        </w:tc>
        <w:tc>
          <w:tcPr>
            <w:tcW w:w="781" w:type="dxa"/>
            <w:gridSpan w:val="3"/>
            <w:shd w:val="clear" w:color="auto" w:fill="B8CCE4" w:themeFill="accent1" w:themeFillTint="66"/>
            <w:vAlign w:val="center"/>
          </w:tcPr>
          <w:p w:rsidR="00EE130D" w:rsidRPr="00A008C3" w:rsidRDefault="00EE130D" w:rsidP="00D11894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de-DE"/>
              </w:rPr>
              <w:t>2015</w:t>
            </w:r>
          </w:p>
        </w:tc>
        <w:tc>
          <w:tcPr>
            <w:tcW w:w="881" w:type="dxa"/>
            <w:gridSpan w:val="3"/>
            <w:shd w:val="clear" w:color="auto" w:fill="B8CCE4" w:themeFill="accent1" w:themeFillTint="66"/>
          </w:tcPr>
          <w:p w:rsidR="00693B39" w:rsidRDefault="00693B39" w:rsidP="00D11894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  <w:p w:rsidR="00EE130D" w:rsidRPr="00A008C3" w:rsidRDefault="00693B39" w:rsidP="00D11894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2016</w:t>
            </w:r>
          </w:p>
        </w:tc>
        <w:tc>
          <w:tcPr>
            <w:tcW w:w="895" w:type="dxa"/>
            <w:shd w:val="clear" w:color="auto" w:fill="B8CCE4" w:themeFill="accent1" w:themeFillTint="66"/>
            <w:vAlign w:val="center"/>
          </w:tcPr>
          <w:p w:rsidR="00EE130D" w:rsidRPr="00A008C3" w:rsidRDefault="00EE130D" w:rsidP="00D11894">
            <w:pPr>
              <w:spacing w:after="200" w:line="276" w:lineRule="auto"/>
              <w:jc w:val="center"/>
              <w:rPr>
                <w:i/>
                <w:sz w:val="18"/>
                <w:szCs w:val="18"/>
              </w:rPr>
            </w:pPr>
            <w:r w:rsidRPr="00A008C3">
              <w:rPr>
                <w:rFonts w:eastAsiaTheme="minorHAnsi"/>
                <w:b/>
                <w:sz w:val="18"/>
                <w:szCs w:val="18"/>
                <w:lang w:eastAsia="de-DE"/>
              </w:rPr>
              <w:t>Pozn.</w:t>
            </w:r>
          </w:p>
        </w:tc>
      </w:tr>
      <w:tr w:rsidR="002877FA" w:rsidRPr="005E73F6" w:rsidTr="00087513">
        <w:trPr>
          <w:cantSplit/>
          <w:trHeight w:val="866"/>
        </w:trPr>
        <w:tc>
          <w:tcPr>
            <w:tcW w:w="644" w:type="dxa"/>
            <w:shd w:val="clear" w:color="auto" w:fill="auto"/>
            <w:vAlign w:val="center"/>
          </w:tcPr>
          <w:p w:rsidR="002877FA" w:rsidRPr="005E73F6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2877FA" w:rsidRPr="005E73F6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2877FA" w:rsidRPr="005E73F6" w:rsidRDefault="002877FA" w:rsidP="00D11894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2877FA" w:rsidRPr="005E73F6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2877FA" w:rsidRPr="005E73F6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2877FA" w:rsidRPr="005E73F6" w:rsidRDefault="002877FA" w:rsidP="00D11894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B8CCE4" w:themeFill="accent1" w:themeFillTint="66"/>
            <w:vAlign w:val="center"/>
          </w:tcPr>
          <w:p w:rsidR="002877FA" w:rsidRPr="00497F67" w:rsidRDefault="002877FA" w:rsidP="00D11894">
            <w:pPr>
              <w:spacing w:after="200" w:line="276" w:lineRule="auto"/>
              <w:ind w:left="-108"/>
              <w:jc w:val="center"/>
              <w:rPr>
                <w:b/>
                <w:sz w:val="16"/>
                <w:szCs w:val="16"/>
              </w:rPr>
            </w:pPr>
            <w:r w:rsidRPr="00497F67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318" w:type="dxa"/>
            <w:shd w:val="clear" w:color="auto" w:fill="B8CCE4" w:themeFill="accent1" w:themeFillTint="66"/>
            <w:vAlign w:val="center"/>
          </w:tcPr>
          <w:p w:rsidR="002877FA" w:rsidRPr="00497F67" w:rsidRDefault="002877FA" w:rsidP="00D11894">
            <w:pPr>
              <w:spacing w:after="200" w:line="276" w:lineRule="auto"/>
              <w:ind w:left="-8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318" w:type="dxa"/>
            <w:shd w:val="clear" w:color="auto" w:fill="B8CCE4" w:themeFill="accent1" w:themeFillTint="66"/>
            <w:textDirection w:val="btLr"/>
            <w:vAlign w:val="center"/>
          </w:tcPr>
          <w:p w:rsidR="002877FA" w:rsidRPr="00497F67" w:rsidRDefault="002877FA" w:rsidP="00D11894">
            <w:pPr>
              <w:spacing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252" w:type="dxa"/>
            <w:shd w:val="clear" w:color="auto" w:fill="B8CCE4" w:themeFill="accent1" w:themeFillTint="66"/>
            <w:vAlign w:val="center"/>
          </w:tcPr>
          <w:p w:rsidR="002877FA" w:rsidRPr="00497F67" w:rsidRDefault="002877FA" w:rsidP="00D11894">
            <w:pPr>
              <w:spacing w:after="200" w:line="276" w:lineRule="auto"/>
              <w:ind w:left="-108"/>
              <w:jc w:val="center"/>
              <w:rPr>
                <w:b/>
                <w:sz w:val="16"/>
                <w:szCs w:val="16"/>
              </w:rPr>
            </w:pPr>
            <w:r w:rsidRPr="00497F67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252" w:type="dxa"/>
            <w:shd w:val="clear" w:color="auto" w:fill="B8CCE4" w:themeFill="accent1" w:themeFillTint="66"/>
            <w:vAlign w:val="center"/>
          </w:tcPr>
          <w:p w:rsidR="002877FA" w:rsidRPr="00497F67" w:rsidRDefault="002877FA" w:rsidP="00D11894">
            <w:pPr>
              <w:spacing w:after="200" w:line="276" w:lineRule="auto"/>
              <w:ind w:left="-8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252" w:type="dxa"/>
            <w:shd w:val="clear" w:color="auto" w:fill="B8CCE4" w:themeFill="accent1" w:themeFillTint="66"/>
            <w:textDirection w:val="btLr"/>
            <w:vAlign w:val="center"/>
          </w:tcPr>
          <w:p w:rsidR="002877FA" w:rsidRPr="00497F67" w:rsidRDefault="002877FA" w:rsidP="00D11894">
            <w:pPr>
              <w:spacing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252" w:type="dxa"/>
            <w:shd w:val="clear" w:color="auto" w:fill="B8CCE4" w:themeFill="accent1" w:themeFillTint="66"/>
            <w:vAlign w:val="center"/>
          </w:tcPr>
          <w:p w:rsidR="002877FA" w:rsidRPr="00497F67" w:rsidRDefault="002877FA" w:rsidP="00D11894">
            <w:pPr>
              <w:spacing w:after="200" w:line="276" w:lineRule="auto"/>
              <w:ind w:left="-108"/>
              <w:jc w:val="center"/>
              <w:rPr>
                <w:b/>
                <w:sz w:val="16"/>
                <w:szCs w:val="16"/>
              </w:rPr>
            </w:pPr>
            <w:r w:rsidRPr="00497F67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252" w:type="dxa"/>
            <w:shd w:val="clear" w:color="auto" w:fill="B8CCE4" w:themeFill="accent1" w:themeFillTint="66"/>
            <w:vAlign w:val="center"/>
          </w:tcPr>
          <w:p w:rsidR="002877FA" w:rsidRPr="00497F67" w:rsidRDefault="002877FA" w:rsidP="00D11894">
            <w:pPr>
              <w:spacing w:after="200" w:line="276" w:lineRule="auto"/>
              <w:ind w:left="-80"/>
              <w:jc w:val="center"/>
              <w:rPr>
                <w:b/>
                <w:sz w:val="16"/>
                <w:szCs w:val="16"/>
              </w:rPr>
            </w:pPr>
            <w:r w:rsidRPr="00497F67"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277" w:type="dxa"/>
            <w:shd w:val="clear" w:color="auto" w:fill="B8CCE4" w:themeFill="accent1" w:themeFillTint="66"/>
            <w:textDirection w:val="btLr"/>
            <w:vAlign w:val="center"/>
          </w:tcPr>
          <w:p w:rsidR="002877FA" w:rsidRPr="00497F67" w:rsidRDefault="002877FA" w:rsidP="00D11894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Spo</w:t>
            </w:r>
            <w:r w:rsidRPr="00497F67">
              <w:rPr>
                <w:rFonts w:eastAsiaTheme="minorHAnsi"/>
                <w:b/>
                <w:sz w:val="16"/>
                <w:szCs w:val="16"/>
                <w:lang w:eastAsia="en-US"/>
              </w:rPr>
              <w:t>lu</w:t>
            </w:r>
          </w:p>
        </w:tc>
        <w:tc>
          <w:tcPr>
            <w:tcW w:w="296" w:type="dxa"/>
            <w:shd w:val="clear" w:color="auto" w:fill="B8CCE4" w:themeFill="accent1" w:themeFillTint="66"/>
            <w:vAlign w:val="center"/>
          </w:tcPr>
          <w:p w:rsidR="002877FA" w:rsidRPr="00EE130D" w:rsidRDefault="002877FA" w:rsidP="00EE130D">
            <w:pPr>
              <w:rPr>
                <w:i/>
                <w:sz w:val="16"/>
                <w:szCs w:val="16"/>
              </w:rPr>
            </w:pPr>
            <w:r w:rsidRPr="00497F67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296" w:type="dxa"/>
            <w:shd w:val="clear" w:color="auto" w:fill="B8CCE4" w:themeFill="accent1" w:themeFillTint="66"/>
            <w:vAlign w:val="center"/>
          </w:tcPr>
          <w:p w:rsidR="002877FA" w:rsidRPr="00EE130D" w:rsidRDefault="002877FA" w:rsidP="00EE130D">
            <w:pPr>
              <w:rPr>
                <w:i/>
                <w:sz w:val="16"/>
                <w:szCs w:val="16"/>
              </w:rPr>
            </w:pPr>
            <w:r w:rsidRPr="00497F67"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289" w:type="dxa"/>
            <w:shd w:val="clear" w:color="auto" w:fill="B8CCE4" w:themeFill="accent1" w:themeFillTint="66"/>
            <w:textDirection w:val="btLr"/>
            <w:vAlign w:val="center"/>
          </w:tcPr>
          <w:p w:rsidR="002877FA" w:rsidRPr="00EE130D" w:rsidRDefault="002877FA" w:rsidP="00EE130D">
            <w:pPr>
              <w:rPr>
                <w:i/>
                <w:sz w:val="16"/>
                <w:szCs w:val="16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    Spo</w:t>
            </w:r>
            <w:r w:rsidRPr="00497F67">
              <w:rPr>
                <w:rFonts w:eastAsiaTheme="minorHAnsi"/>
                <w:b/>
                <w:sz w:val="16"/>
                <w:szCs w:val="16"/>
                <w:lang w:eastAsia="en-US"/>
              </w:rPr>
              <w:t>lu</w:t>
            </w:r>
          </w:p>
        </w:tc>
        <w:tc>
          <w:tcPr>
            <w:tcW w:w="895" w:type="dxa"/>
            <w:shd w:val="clear" w:color="auto" w:fill="B8CCE4" w:themeFill="accent1" w:themeFillTint="66"/>
          </w:tcPr>
          <w:p w:rsidR="002877FA" w:rsidRPr="005E73F6" w:rsidRDefault="002877FA" w:rsidP="00D11894">
            <w:pPr>
              <w:rPr>
                <w:i/>
                <w:sz w:val="16"/>
                <w:szCs w:val="16"/>
              </w:rPr>
            </w:pPr>
          </w:p>
        </w:tc>
      </w:tr>
      <w:tr w:rsidR="00EE130D" w:rsidRPr="005E73F6" w:rsidTr="00087513">
        <w:trPr>
          <w:cantSplit/>
          <w:trHeight w:val="1134"/>
        </w:trPr>
        <w:tc>
          <w:tcPr>
            <w:tcW w:w="644" w:type="dxa"/>
            <w:shd w:val="clear" w:color="auto" w:fill="auto"/>
            <w:vAlign w:val="center"/>
          </w:tcPr>
          <w:p w:rsidR="00EE130D" w:rsidRPr="008140F2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8140F2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0</w:t>
            </w:r>
            <w:r w:rsidRPr="008140F2">
              <w:rPr>
                <w:sz w:val="16"/>
                <w:szCs w:val="16"/>
              </w:rPr>
              <w:t>149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EE130D" w:rsidRPr="000B45FC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Miera fluktuácie pracovníkov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EE130D" w:rsidRPr="000B45FC" w:rsidRDefault="00EE130D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%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EE130D" w:rsidRPr="000B45FC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Menej rozvinutý región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EE130D" w:rsidRPr="000B45FC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13,2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EE130D" w:rsidRPr="000B45FC" w:rsidRDefault="00EE130D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2014</w:t>
            </w: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EE130D" w:rsidRPr="0029794B" w:rsidRDefault="00EE130D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EE130D" w:rsidRPr="0029794B" w:rsidRDefault="00EE130D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EE130D" w:rsidRPr="00FC0A8F" w:rsidRDefault="00EE130D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FC0A8F">
              <w:rPr>
                <w:sz w:val="16"/>
                <w:szCs w:val="16"/>
              </w:rPr>
              <w:t>11,20</w:t>
            </w: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EE130D" w:rsidRPr="00FC0A8F" w:rsidRDefault="00EE130D" w:rsidP="00D11894">
            <w:pPr>
              <w:spacing w:after="200" w:line="276" w:lineRule="auto"/>
              <w:ind w:left="-108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EE130D" w:rsidRPr="00FC0A8F" w:rsidRDefault="00EE130D" w:rsidP="00D11894">
            <w:pPr>
              <w:spacing w:after="200" w:line="276" w:lineRule="auto"/>
              <w:ind w:left="-80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EE130D" w:rsidRPr="00FC0A8F" w:rsidRDefault="00EE130D" w:rsidP="00634D82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FC0A8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FC0A8F">
              <w:rPr>
                <w:sz w:val="16"/>
                <w:szCs w:val="16"/>
              </w:rPr>
              <w:t>,20</w:t>
            </w: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EE130D" w:rsidRPr="00FC0A8F" w:rsidRDefault="00EE130D" w:rsidP="00D11894">
            <w:pPr>
              <w:spacing w:after="200" w:line="276" w:lineRule="auto"/>
              <w:ind w:left="-108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EE130D" w:rsidRPr="00FC0A8F" w:rsidRDefault="00EE130D" w:rsidP="00D11894">
            <w:pPr>
              <w:spacing w:after="200" w:line="276" w:lineRule="auto"/>
              <w:ind w:left="-80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textDirection w:val="btLr"/>
            <w:vAlign w:val="center"/>
          </w:tcPr>
          <w:p w:rsidR="00EE130D" w:rsidRPr="00FC0A8F" w:rsidRDefault="00EE130D" w:rsidP="00634D82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FC0A8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FC0A8F">
              <w:rPr>
                <w:sz w:val="16"/>
                <w:szCs w:val="16"/>
              </w:rPr>
              <w:t>,20</w:t>
            </w:r>
          </w:p>
        </w:tc>
        <w:tc>
          <w:tcPr>
            <w:tcW w:w="296" w:type="dxa"/>
            <w:textDirection w:val="btLr"/>
          </w:tcPr>
          <w:p w:rsidR="00EE130D" w:rsidRPr="00EE130D" w:rsidRDefault="00EE130D" w:rsidP="00087513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textDirection w:val="btLr"/>
          </w:tcPr>
          <w:p w:rsidR="00EE130D" w:rsidRPr="00EE130D" w:rsidRDefault="00EE130D" w:rsidP="00087513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EE130D" w:rsidRPr="00EE130D" w:rsidRDefault="005A5D2D" w:rsidP="00087513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10,45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EE130D" w:rsidRPr="00AF2812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PO 1</w:t>
            </w:r>
          </w:p>
          <w:p w:rsidR="00EE130D" w:rsidRPr="00AF2812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ŠC 1</w:t>
            </w:r>
          </w:p>
        </w:tc>
      </w:tr>
      <w:tr w:rsidR="00EE130D" w:rsidRPr="005E73F6" w:rsidTr="00087513">
        <w:trPr>
          <w:cantSplit/>
          <w:trHeight w:val="1134"/>
        </w:trPr>
        <w:tc>
          <w:tcPr>
            <w:tcW w:w="644" w:type="dxa"/>
            <w:shd w:val="clear" w:color="auto" w:fill="auto"/>
            <w:vAlign w:val="center"/>
          </w:tcPr>
          <w:p w:rsidR="00EE130D" w:rsidRPr="008140F2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8140F2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0</w:t>
            </w:r>
            <w:r w:rsidRPr="008140F2">
              <w:rPr>
                <w:sz w:val="16"/>
                <w:szCs w:val="16"/>
              </w:rPr>
              <w:t>150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EE130D" w:rsidRPr="000B45FC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Miera informovanosti o možnostiach podpory z EŠIF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EE130D" w:rsidRPr="000B45FC" w:rsidRDefault="00EE130D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%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EE130D" w:rsidRPr="000B45FC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Menej rozvinutý región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EE130D" w:rsidRPr="006B6388" w:rsidRDefault="00955C08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4A0ED8">
              <w:rPr>
                <w:sz w:val="16"/>
                <w:szCs w:val="16"/>
              </w:rPr>
              <w:t>74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EE130D" w:rsidRPr="006B6388" w:rsidRDefault="00EE130D" w:rsidP="00D11894">
            <w:pPr>
              <w:jc w:val="center"/>
              <w:rPr>
                <w:sz w:val="16"/>
                <w:szCs w:val="16"/>
              </w:rPr>
            </w:pPr>
            <w:r w:rsidRPr="006B6388">
              <w:rPr>
                <w:sz w:val="16"/>
                <w:szCs w:val="16"/>
              </w:rPr>
              <w:t>2014</w:t>
            </w: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EE130D" w:rsidRPr="004A0ED8" w:rsidRDefault="00EE130D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EE130D" w:rsidRPr="004A0ED8" w:rsidRDefault="00EE130D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EE130D" w:rsidRPr="006B6388" w:rsidRDefault="00955C08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4A0ED8">
              <w:rPr>
                <w:sz w:val="16"/>
                <w:szCs w:val="16"/>
              </w:rPr>
              <w:t>80</w:t>
            </w: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EE130D" w:rsidRPr="00FC0A8F" w:rsidRDefault="00EE130D" w:rsidP="00D11894">
            <w:pPr>
              <w:spacing w:after="200" w:line="276" w:lineRule="auto"/>
              <w:ind w:left="-108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EE130D" w:rsidRPr="00FC0A8F" w:rsidRDefault="00EE130D" w:rsidP="00D11894">
            <w:pPr>
              <w:spacing w:after="200" w:line="276" w:lineRule="auto"/>
              <w:ind w:left="-80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EE130D" w:rsidRPr="00FC0A8F" w:rsidRDefault="00EE130D" w:rsidP="00D11894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EE130D" w:rsidRPr="00FC0A8F" w:rsidRDefault="00EE130D" w:rsidP="00D11894">
            <w:pPr>
              <w:spacing w:after="200" w:line="276" w:lineRule="auto"/>
              <w:ind w:left="-108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EE130D" w:rsidRPr="00FC0A8F" w:rsidRDefault="00EE130D" w:rsidP="00D11894">
            <w:pPr>
              <w:spacing w:after="200" w:line="276" w:lineRule="auto"/>
              <w:ind w:left="-80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textDirection w:val="btLr"/>
            <w:vAlign w:val="center"/>
          </w:tcPr>
          <w:p w:rsidR="00EE130D" w:rsidRPr="00FC0A8F" w:rsidRDefault="00EE130D" w:rsidP="00D11894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296" w:type="dxa"/>
            <w:textDirection w:val="btLr"/>
          </w:tcPr>
          <w:p w:rsidR="00EE130D" w:rsidRPr="00AF2812" w:rsidRDefault="00EE130D" w:rsidP="00087513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textDirection w:val="btLr"/>
          </w:tcPr>
          <w:p w:rsidR="00EE130D" w:rsidRPr="00AF2812" w:rsidRDefault="00EE130D" w:rsidP="00087513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EE130D" w:rsidRPr="00AF2812" w:rsidRDefault="00937F20" w:rsidP="00087513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EE130D" w:rsidRPr="00AF2812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PO 1</w:t>
            </w:r>
          </w:p>
          <w:p w:rsidR="00EE130D" w:rsidRPr="00AF2812" w:rsidRDefault="00EE130D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ŠC 2</w:t>
            </w:r>
          </w:p>
        </w:tc>
      </w:tr>
      <w:tr w:rsidR="002877FA" w:rsidRPr="005E73F6" w:rsidTr="00087513">
        <w:trPr>
          <w:cantSplit/>
          <w:trHeight w:val="1134"/>
        </w:trPr>
        <w:tc>
          <w:tcPr>
            <w:tcW w:w="644" w:type="dxa"/>
            <w:shd w:val="clear" w:color="auto" w:fill="auto"/>
            <w:vAlign w:val="center"/>
          </w:tcPr>
          <w:p w:rsidR="002877FA" w:rsidRPr="008140F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R0151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877FA" w:rsidRPr="000B45FC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Zabezpečenie adekvátnej miery fungovania riadiaceho a kontrolného systému CKO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877FA" w:rsidRPr="000B45FC" w:rsidRDefault="002877FA" w:rsidP="00D11894">
            <w:pPr>
              <w:snapToGrid w:val="0"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Stupeň uistenia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877FA" w:rsidRPr="000B45FC" w:rsidRDefault="002877FA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Menej rozvinutý región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877FA" w:rsidRPr="000B45FC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2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2877FA" w:rsidRPr="000B45FC" w:rsidRDefault="002877FA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2014</w:t>
            </w: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2877FA" w:rsidRPr="0029794B" w:rsidRDefault="002877FA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2877FA" w:rsidRPr="0029794B" w:rsidRDefault="002877FA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2877FA" w:rsidRPr="00FC0A8F" w:rsidRDefault="002877FA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FC0A8F">
              <w:rPr>
                <w:sz w:val="16"/>
                <w:szCs w:val="16"/>
              </w:rPr>
              <w:t>2</w:t>
            </w: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FC0A8F" w:rsidRDefault="002877FA" w:rsidP="00D11894">
            <w:pPr>
              <w:spacing w:after="200" w:line="276" w:lineRule="auto"/>
              <w:ind w:left="-108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FC0A8F" w:rsidRDefault="002877FA" w:rsidP="00D11894">
            <w:pPr>
              <w:spacing w:after="200" w:line="276" w:lineRule="auto"/>
              <w:ind w:left="-80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FC0A8F" w:rsidRDefault="002877FA" w:rsidP="00D11894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FC0A8F" w:rsidRDefault="002877FA" w:rsidP="00D11894">
            <w:pPr>
              <w:spacing w:after="200" w:line="276" w:lineRule="auto"/>
              <w:ind w:left="-108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FC0A8F" w:rsidRDefault="002877FA" w:rsidP="00D11894">
            <w:pPr>
              <w:spacing w:after="200" w:line="276" w:lineRule="auto"/>
              <w:ind w:left="-80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textDirection w:val="btLr"/>
            <w:vAlign w:val="center"/>
          </w:tcPr>
          <w:p w:rsidR="002877FA" w:rsidRPr="00FC0A8F" w:rsidRDefault="002877FA" w:rsidP="00D11894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6" w:type="dxa"/>
            <w:textDirection w:val="btLr"/>
          </w:tcPr>
          <w:p w:rsidR="002877FA" w:rsidRPr="00AF2812" w:rsidRDefault="002877FA" w:rsidP="00087513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textDirection w:val="btLr"/>
          </w:tcPr>
          <w:p w:rsidR="002877FA" w:rsidRPr="00AF2812" w:rsidRDefault="002877FA" w:rsidP="00087513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2877FA" w:rsidRPr="00AF2812" w:rsidRDefault="00937F20" w:rsidP="00087513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2877FA" w:rsidRPr="00AF281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PO 1</w:t>
            </w:r>
          </w:p>
          <w:p w:rsidR="002877FA" w:rsidRPr="00AF281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ŠC 3</w:t>
            </w:r>
          </w:p>
        </w:tc>
      </w:tr>
      <w:tr w:rsidR="002877FA" w:rsidRPr="005E73F6" w:rsidTr="00087513">
        <w:trPr>
          <w:cantSplit/>
          <w:trHeight w:val="1134"/>
        </w:trPr>
        <w:tc>
          <w:tcPr>
            <w:tcW w:w="644" w:type="dxa"/>
            <w:shd w:val="clear" w:color="auto" w:fill="auto"/>
            <w:vAlign w:val="center"/>
          </w:tcPr>
          <w:p w:rsidR="002877FA" w:rsidRPr="008140F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R0152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877FA" w:rsidRPr="000B45FC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Miera dodržania lehôt vyplývajúcich zo SFR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877FA" w:rsidRPr="000B45FC" w:rsidRDefault="002877FA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%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877FA" w:rsidRPr="000B45FC" w:rsidRDefault="002877FA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Menej rozvinutý región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877FA" w:rsidRPr="000B45FC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96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2877FA" w:rsidRPr="000B45FC" w:rsidRDefault="002877FA" w:rsidP="00D11894">
            <w:pPr>
              <w:jc w:val="center"/>
              <w:rPr>
                <w:sz w:val="16"/>
                <w:szCs w:val="16"/>
              </w:rPr>
            </w:pPr>
            <w:r w:rsidRPr="000B45FC">
              <w:rPr>
                <w:sz w:val="16"/>
                <w:szCs w:val="16"/>
              </w:rPr>
              <w:t>2014</w:t>
            </w: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2877FA" w:rsidRPr="0029794B" w:rsidRDefault="002877FA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2877FA" w:rsidRPr="0029794B" w:rsidRDefault="002877FA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2877FA" w:rsidRPr="00FC0A8F" w:rsidRDefault="002877FA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FC0A8F">
              <w:rPr>
                <w:sz w:val="16"/>
                <w:szCs w:val="16"/>
              </w:rPr>
              <w:t>96</w:t>
            </w: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FC0A8F" w:rsidRDefault="002877FA" w:rsidP="00D11894">
            <w:pPr>
              <w:spacing w:after="200" w:line="276" w:lineRule="auto"/>
              <w:ind w:left="-108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FC0A8F" w:rsidRDefault="002877FA" w:rsidP="00D11894">
            <w:pPr>
              <w:spacing w:after="200" w:line="276" w:lineRule="auto"/>
              <w:ind w:left="-80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FC0A8F" w:rsidRDefault="002877FA" w:rsidP="00D11894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FC0A8F" w:rsidRDefault="002877FA" w:rsidP="00D11894">
            <w:pPr>
              <w:spacing w:after="200" w:line="276" w:lineRule="auto"/>
              <w:ind w:left="-108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FC0A8F" w:rsidRDefault="002877FA" w:rsidP="00D11894">
            <w:pPr>
              <w:spacing w:after="200" w:line="276" w:lineRule="auto"/>
              <w:ind w:left="-80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textDirection w:val="btLr"/>
            <w:vAlign w:val="center"/>
          </w:tcPr>
          <w:p w:rsidR="002877FA" w:rsidRPr="00FC0A8F" w:rsidRDefault="002877FA" w:rsidP="00D11894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296" w:type="dxa"/>
            <w:textDirection w:val="btLr"/>
          </w:tcPr>
          <w:p w:rsidR="002877FA" w:rsidRPr="00AF2812" w:rsidRDefault="002877FA" w:rsidP="00087513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textDirection w:val="btLr"/>
          </w:tcPr>
          <w:p w:rsidR="002877FA" w:rsidRPr="00AF2812" w:rsidRDefault="002877FA" w:rsidP="00087513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2877FA" w:rsidRPr="00AF2812" w:rsidRDefault="00511A24" w:rsidP="00087513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97,41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2877FA" w:rsidRPr="00AF281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PO 1</w:t>
            </w:r>
          </w:p>
          <w:p w:rsidR="002877FA" w:rsidRPr="00AF281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AF2812">
              <w:rPr>
                <w:sz w:val="16"/>
                <w:szCs w:val="16"/>
              </w:rPr>
              <w:t>ŠC 3</w:t>
            </w:r>
          </w:p>
        </w:tc>
      </w:tr>
      <w:tr w:rsidR="002877FA" w:rsidRPr="005E73F6" w:rsidTr="00087513">
        <w:trPr>
          <w:cantSplit/>
          <w:trHeight w:val="1134"/>
        </w:trPr>
        <w:tc>
          <w:tcPr>
            <w:tcW w:w="644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0</w:t>
            </w:r>
            <w:r w:rsidRPr="00DD0F32">
              <w:rPr>
                <w:sz w:val="16"/>
                <w:szCs w:val="16"/>
              </w:rPr>
              <w:t>153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Miera overenia deklarovaných výdavkov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877FA" w:rsidRPr="00DD0F32" w:rsidRDefault="002877FA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%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877FA" w:rsidRPr="00DD0F32" w:rsidRDefault="002877FA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Menej rozvinutý región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10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2877FA" w:rsidRPr="00DD0F32" w:rsidRDefault="002877FA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2014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15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2877FA" w:rsidRPr="00DD0F32" w:rsidRDefault="002877FA" w:rsidP="00D11894">
            <w:pPr>
              <w:spacing w:after="200" w:line="276" w:lineRule="auto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2877FA" w:rsidRPr="00DD0F32" w:rsidRDefault="002877FA" w:rsidP="00D11894">
            <w:pPr>
              <w:spacing w:after="200" w:line="276" w:lineRule="auto"/>
              <w:ind w:left="-8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DD0F32" w:rsidRDefault="002877FA" w:rsidP="00D11894">
            <w:pPr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DD0F32" w:rsidRDefault="002877FA" w:rsidP="00D11894">
            <w:pPr>
              <w:spacing w:after="200" w:line="276" w:lineRule="auto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DD0F32" w:rsidRDefault="002877FA" w:rsidP="00D11894">
            <w:pPr>
              <w:spacing w:after="200" w:line="276" w:lineRule="auto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textDirection w:val="btLr"/>
            <w:vAlign w:val="center"/>
          </w:tcPr>
          <w:p w:rsidR="002877FA" w:rsidRPr="00DD0F32" w:rsidRDefault="002877FA" w:rsidP="008454A5">
            <w:pPr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96" w:type="dxa"/>
            <w:textDirection w:val="btLr"/>
          </w:tcPr>
          <w:p w:rsidR="002877FA" w:rsidRPr="008D3FF9" w:rsidRDefault="002877FA" w:rsidP="0008751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textDirection w:val="btLr"/>
          </w:tcPr>
          <w:p w:rsidR="002877FA" w:rsidRPr="008D3FF9" w:rsidRDefault="002877FA" w:rsidP="0008751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2877FA" w:rsidRPr="008D3FF9" w:rsidRDefault="00937F20" w:rsidP="0008751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2877FA" w:rsidRPr="008D3FF9" w:rsidRDefault="002877FA" w:rsidP="00D11894">
            <w:pPr>
              <w:jc w:val="center"/>
              <w:rPr>
                <w:sz w:val="16"/>
                <w:szCs w:val="16"/>
              </w:rPr>
            </w:pPr>
            <w:r w:rsidRPr="008D3FF9">
              <w:rPr>
                <w:sz w:val="16"/>
                <w:szCs w:val="16"/>
              </w:rPr>
              <w:t>PO 1</w:t>
            </w:r>
          </w:p>
          <w:p w:rsidR="002877FA" w:rsidRPr="008D3FF9" w:rsidRDefault="002877FA" w:rsidP="00D11894">
            <w:pPr>
              <w:jc w:val="center"/>
              <w:rPr>
                <w:sz w:val="16"/>
                <w:szCs w:val="16"/>
              </w:rPr>
            </w:pPr>
            <w:r w:rsidRPr="008D3FF9">
              <w:rPr>
                <w:sz w:val="16"/>
                <w:szCs w:val="16"/>
              </w:rPr>
              <w:t>ŠC 3</w:t>
            </w:r>
          </w:p>
        </w:tc>
      </w:tr>
      <w:tr w:rsidR="002877FA" w:rsidRPr="005E73F6" w:rsidTr="00087513">
        <w:trPr>
          <w:cantSplit/>
          <w:trHeight w:val="1134"/>
        </w:trPr>
        <w:tc>
          <w:tcPr>
            <w:tcW w:w="644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0</w:t>
            </w:r>
            <w:r w:rsidRPr="00DD0F32">
              <w:rPr>
                <w:sz w:val="16"/>
                <w:szCs w:val="16"/>
              </w:rPr>
              <w:t>154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Miera spokojnosti užívateľov informačných systémov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877FA" w:rsidRPr="00DD0F32" w:rsidRDefault="002877FA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%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877FA" w:rsidRPr="00DD0F32" w:rsidRDefault="002877FA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Menej rozvinutý región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90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2877FA" w:rsidRPr="00DD0F32" w:rsidRDefault="002877FA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2013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93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2877FA" w:rsidRPr="00DD0F32" w:rsidRDefault="002877FA" w:rsidP="00D11894">
            <w:pPr>
              <w:spacing w:after="200" w:line="276" w:lineRule="auto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2877FA" w:rsidRPr="00DD0F32" w:rsidRDefault="002877FA" w:rsidP="00D11894">
            <w:pPr>
              <w:spacing w:after="200" w:line="276" w:lineRule="auto"/>
              <w:ind w:left="-8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DD0F32" w:rsidRDefault="002877FA" w:rsidP="00D11894">
            <w:pPr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DD0F32" w:rsidRDefault="002877FA" w:rsidP="00D11894">
            <w:pPr>
              <w:spacing w:after="200" w:line="276" w:lineRule="auto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DD0F32" w:rsidRDefault="002877FA" w:rsidP="00D11894">
            <w:pPr>
              <w:spacing w:after="200" w:line="276" w:lineRule="auto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textDirection w:val="btLr"/>
            <w:vAlign w:val="center"/>
          </w:tcPr>
          <w:p w:rsidR="002877FA" w:rsidRPr="00DD0F32" w:rsidRDefault="002877FA" w:rsidP="00D11894">
            <w:pPr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296" w:type="dxa"/>
            <w:textDirection w:val="btLr"/>
          </w:tcPr>
          <w:p w:rsidR="002877FA" w:rsidRPr="008D3FF9" w:rsidRDefault="002877FA" w:rsidP="0008751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textDirection w:val="btLr"/>
          </w:tcPr>
          <w:p w:rsidR="002877FA" w:rsidRPr="008D3FF9" w:rsidRDefault="002877FA" w:rsidP="0008751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2877FA" w:rsidRPr="008D3FF9" w:rsidRDefault="00760BD8" w:rsidP="0008751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  <w:r w:rsidR="005A69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59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2877FA" w:rsidRPr="008D3FF9" w:rsidRDefault="002877FA" w:rsidP="00D11894">
            <w:pPr>
              <w:jc w:val="center"/>
              <w:rPr>
                <w:sz w:val="16"/>
                <w:szCs w:val="16"/>
              </w:rPr>
            </w:pPr>
            <w:r w:rsidRPr="008D3FF9">
              <w:rPr>
                <w:sz w:val="16"/>
                <w:szCs w:val="16"/>
              </w:rPr>
              <w:t>PO 2</w:t>
            </w:r>
          </w:p>
          <w:p w:rsidR="002877FA" w:rsidRPr="008D3FF9" w:rsidRDefault="002877FA" w:rsidP="00D11894">
            <w:pPr>
              <w:jc w:val="center"/>
              <w:rPr>
                <w:sz w:val="16"/>
                <w:szCs w:val="16"/>
              </w:rPr>
            </w:pPr>
            <w:r w:rsidRPr="008D3FF9">
              <w:rPr>
                <w:sz w:val="16"/>
                <w:szCs w:val="16"/>
              </w:rPr>
              <w:t>ŠC 1</w:t>
            </w:r>
          </w:p>
        </w:tc>
      </w:tr>
      <w:tr w:rsidR="002877FA" w:rsidRPr="005E73F6" w:rsidTr="00087513">
        <w:trPr>
          <w:cantSplit/>
          <w:trHeight w:val="1134"/>
        </w:trPr>
        <w:tc>
          <w:tcPr>
            <w:tcW w:w="644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R0155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Miera dostupnosti informačných systémov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877FA" w:rsidRPr="00DD0F32" w:rsidRDefault="002877FA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%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2877FA" w:rsidRPr="00DD0F32" w:rsidRDefault="002877FA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Menej rozvinutý región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98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2877FA" w:rsidRPr="00DD0F32" w:rsidRDefault="002877FA" w:rsidP="00D11894">
            <w:pPr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2013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  <w:textDirection w:val="btLr"/>
            <w:vAlign w:val="center"/>
          </w:tcPr>
          <w:p w:rsidR="002877FA" w:rsidRPr="00DD0F32" w:rsidRDefault="002877FA" w:rsidP="00D11894">
            <w:pPr>
              <w:tabs>
                <w:tab w:val="left" w:pos="720"/>
              </w:tabs>
              <w:ind w:left="113" w:right="113"/>
              <w:contextualSpacing/>
              <w:jc w:val="center"/>
              <w:rPr>
                <w:sz w:val="16"/>
                <w:szCs w:val="16"/>
              </w:rPr>
            </w:pPr>
            <w:r w:rsidRPr="00DD0F32">
              <w:rPr>
                <w:sz w:val="16"/>
                <w:szCs w:val="16"/>
              </w:rPr>
              <w:t>99</w:t>
            </w:r>
          </w:p>
        </w:tc>
        <w:tc>
          <w:tcPr>
            <w:tcW w:w="252" w:type="dxa"/>
            <w:shd w:val="clear" w:color="auto" w:fill="auto"/>
            <w:vAlign w:val="center"/>
          </w:tcPr>
          <w:p w:rsidR="002877FA" w:rsidRPr="00DD0F32" w:rsidRDefault="002877FA" w:rsidP="00D11894">
            <w:pPr>
              <w:spacing w:after="200" w:line="276" w:lineRule="auto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vAlign w:val="center"/>
          </w:tcPr>
          <w:p w:rsidR="002877FA" w:rsidRPr="00DD0F32" w:rsidRDefault="002877FA" w:rsidP="00D11894">
            <w:pPr>
              <w:spacing w:after="200" w:line="276" w:lineRule="auto"/>
              <w:ind w:left="-8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DD0F32" w:rsidRDefault="002877FA" w:rsidP="00D11894">
            <w:pPr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DD0F32" w:rsidRDefault="002877FA" w:rsidP="00D11894">
            <w:pPr>
              <w:spacing w:after="200" w:line="276" w:lineRule="auto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shd w:val="clear" w:color="auto" w:fill="auto"/>
            <w:textDirection w:val="btLr"/>
            <w:vAlign w:val="center"/>
          </w:tcPr>
          <w:p w:rsidR="002877FA" w:rsidRPr="00DD0F32" w:rsidRDefault="002877FA" w:rsidP="00D11894">
            <w:pPr>
              <w:spacing w:after="200" w:line="276" w:lineRule="auto"/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77" w:type="dxa"/>
            <w:shd w:val="clear" w:color="auto" w:fill="auto"/>
            <w:textDirection w:val="btLr"/>
            <w:vAlign w:val="center"/>
          </w:tcPr>
          <w:p w:rsidR="002877FA" w:rsidRPr="00DD0F32" w:rsidRDefault="002877FA" w:rsidP="00D11894">
            <w:pPr>
              <w:spacing w:line="276" w:lineRule="auto"/>
              <w:ind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296" w:type="dxa"/>
            <w:textDirection w:val="btLr"/>
          </w:tcPr>
          <w:p w:rsidR="002877FA" w:rsidRPr="008D3FF9" w:rsidRDefault="002877FA" w:rsidP="0008751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dxa"/>
            <w:textDirection w:val="btLr"/>
          </w:tcPr>
          <w:p w:rsidR="002877FA" w:rsidRPr="008D3FF9" w:rsidRDefault="002877FA" w:rsidP="0008751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dxa"/>
            <w:textDirection w:val="btLr"/>
          </w:tcPr>
          <w:p w:rsidR="002877FA" w:rsidRPr="008D3FF9" w:rsidRDefault="005A5D2D" w:rsidP="00087513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99,87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2877FA" w:rsidRPr="008D3FF9" w:rsidRDefault="002877FA" w:rsidP="00D11894">
            <w:pPr>
              <w:jc w:val="center"/>
              <w:rPr>
                <w:sz w:val="16"/>
                <w:szCs w:val="16"/>
              </w:rPr>
            </w:pPr>
            <w:r w:rsidRPr="008D3FF9">
              <w:rPr>
                <w:sz w:val="16"/>
                <w:szCs w:val="16"/>
              </w:rPr>
              <w:t>PO 2</w:t>
            </w:r>
          </w:p>
          <w:p w:rsidR="002877FA" w:rsidRPr="008D3FF9" w:rsidRDefault="002877FA" w:rsidP="00D11894">
            <w:pPr>
              <w:jc w:val="center"/>
              <w:rPr>
                <w:sz w:val="16"/>
                <w:szCs w:val="16"/>
              </w:rPr>
            </w:pPr>
            <w:r w:rsidRPr="008D3FF9">
              <w:rPr>
                <w:sz w:val="16"/>
                <w:szCs w:val="16"/>
              </w:rPr>
              <w:t>ŠC 1</w:t>
            </w:r>
          </w:p>
        </w:tc>
      </w:tr>
    </w:tbl>
    <w:p w:rsidR="00222275" w:rsidRPr="00A1107E" w:rsidRDefault="00A1107E" w:rsidP="00222275">
      <w:pPr>
        <w:spacing w:line="276" w:lineRule="auto"/>
        <w:rPr>
          <w:rFonts w:eastAsiaTheme="minorHAnsi"/>
          <w:b/>
          <w:sz w:val="16"/>
          <w:szCs w:val="16"/>
        </w:rPr>
      </w:pPr>
      <w:r w:rsidRPr="00A1107E">
        <w:rPr>
          <w:rFonts w:eastAsiaTheme="minorHAnsi"/>
          <w:b/>
          <w:sz w:val="16"/>
          <w:szCs w:val="16"/>
        </w:rPr>
        <w:t>Zdroj: ITMS</w:t>
      </w:r>
    </w:p>
    <w:p w:rsidR="00533E9A" w:rsidRDefault="00533E9A" w:rsidP="00222275">
      <w:pPr>
        <w:jc w:val="both"/>
        <w:rPr>
          <w:rFonts w:eastAsiaTheme="minorHAnsi"/>
          <w:b/>
        </w:rPr>
      </w:pPr>
    </w:p>
    <w:p w:rsidR="00222275" w:rsidRDefault="00222275" w:rsidP="00222275">
      <w:pPr>
        <w:jc w:val="both"/>
        <w:rPr>
          <w:rFonts w:eastAsiaTheme="minorHAnsi"/>
          <w:b/>
        </w:rPr>
      </w:pPr>
      <w:r w:rsidRPr="00AA7D81">
        <w:rPr>
          <w:rFonts w:eastAsiaTheme="minorHAnsi"/>
          <w:b/>
        </w:rPr>
        <w:t xml:space="preserve">Tabuľka 2A Spoločné ukazovatele výsledku pre ESF v rozdelení na prioritné osi, investičné priority a kategórie regiónu </w:t>
      </w:r>
    </w:p>
    <w:p w:rsidR="00222275" w:rsidRPr="003D2845" w:rsidRDefault="00222275" w:rsidP="00222275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222275" w:rsidRPr="00F41510" w:rsidRDefault="00222275" w:rsidP="00222275">
      <w:pPr>
        <w:jc w:val="both"/>
        <w:rPr>
          <w:rFonts w:eastAsiaTheme="minorHAnsi"/>
          <w:sz w:val="20"/>
          <w:szCs w:val="20"/>
        </w:rPr>
      </w:pPr>
    </w:p>
    <w:p w:rsidR="00222275" w:rsidRDefault="00222275" w:rsidP="00222275">
      <w:pPr>
        <w:rPr>
          <w:rFonts w:eastAsiaTheme="minorHAnsi"/>
          <w:b/>
        </w:rPr>
      </w:pPr>
      <w:r w:rsidRPr="003A1809">
        <w:rPr>
          <w:rFonts w:eastAsiaTheme="minorHAnsi"/>
          <w:b/>
        </w:rPr>
        <w:lastRenderedPageBreak/>
        <w:t xml:space="preserve">Tabuľka 2B Ukazovatele výsledkov </w:t>
      </w:r>
      <w:r>
        <w:rPr>
          <w:rFonts w:eastAsiaTheme="minorHAnsi"/>
          <w:b/>
        </w:rPr>
        <w:t>IZM</w:t>
      </w:r>
      <w:r w:rsidRPr="003A1809">
        <w:rPr>
          <w:rFonts w:eastAsiaTheme="minorHAnsi"/>
          <w:b/>
        </w:rPr>
        <w:t xml:space="preserve"> </w:t>
      </w:r>
      <w:r>
        <w:rPr>
          <w:rFonts w:eastAsiaTheme="minorHAnsi"/>
          <w:b/>
        </w:rPr>
        <w:t>podľa</w:t>
      </w:r>
      <w:r w:rsidRPr="003A1809">
        <w:rPr>
          <w:rFonts w:eastAsiaTheme="minorHAnsi"/>
          <w:b/>
        </w:rPr>
        <w:t xml:space="preserve"> prioritn</w:t>
      </w:r>
      <w:r>
        <w:rPr>
          <w:rFonts w:eastAsiaTheme="minorHAnsi"/>
          <w:b/>
        </w:rPr>
        <w:t>ej</w:t>
      </w:r>
      <w:r w:rsidRPr="003A1809">
        <w:rPr>
          <w:rFonts w:eastAsiaTheme="minorHAnsi"/>
          <w:b/>
        </w:rPr>
        <w:t xml:space="preserve"> osi alebo </w:t>
      </w:r>
      <w:r>
        <w:rPr>
          <w:rFonts w:eastAsiaTheme="minorHAnsi"/>
          <w:b/>
        </w:rPr>
        <w:t>časti</w:t>
      </w:r>
      <w:r w:rsidRPr="003A1809">
        <w:rPr>
          <w:rFonts w:eastAsiaTheme="minorHAnsi"/>
          <w:b/>
        </w:rPr>
        <w:t xml:space="preserve"> prioritnej osi</w:t>
      </w:r>
    </w:p>
    <w:p w:rsidR="00222275" w:rsidRDefault="00222275" w:rsidP="00222275">
      <w:pPr>
        <w:rPr>
          <w:rFonts w:eastAsiaTheme="minorHAnsi"/>
          <w:b/>
        </w:rPr>
      </w:pPr>
      <w:r w:rsidRPr="003D2845">
        <w:rPr>
          <w:rFonts w:eastAsiaTheme="minorHAnsi"/>
        </w:rPr>
        <w:t>Požadované informácie nie sú pre OP TP relevantné.</w:t>
      </w:r>
    </w:p>
    <w:p w:rsidR="00222275" w:rsidRDefault="00222275" w:rsidP="00222275">
      <w:pPr>
        <w:keepNext/>
        <w:jc w:val="both"/>
        <w:rPr>
          <w:rFonts w:eastAsiaTheme="minorHAnsi"/>
          <w:sz w:val="20"/>
          <w:szCs w:val="20"/>
        </w:rPr>
      </w:pPr>
    </w:p>
    <w:p w:rsidR="00222275" w:rsidRDefault="00222275" w:rsidP="00222275">
      <w:pPr>
        <w:keepNext/>
        <w:jc w:val="both"/>
        <w:rPr>
          <w:rFonts w:eastAsiaTheme="minorHAnsi"/>
          <w:b/>
        </w:rPr>
      </w:pPr>
      <w:r w:rsidRPr="003A1809">
        <w:rPr>
          <w:rFonts w:eastAsiaTheme="minorHAnsi"/>
          <w:b/>
        </w:rPr>
        <w:t>Tabuľka 2C Programovo špecifické ukazovatele výsledku pre ESF</w:t>
      </w:r>
      <w:r w:rsidRPr="003A1809">
        <w:rPr>
          <w:rFonts w:eastAsiaTheme="minorHAnsi"/>
          <w:lang w:eastAsia="en-US"/>
        </w:rPr>
        <w:t xml:space="preserve"> </w:t>
      </w:r>
      <w:r w:rsidRPr="003A1809">
        <w:rPr>
          <w:rFonts w:eastAsiaTheme="minorHAnsi"/>
          <w:b/>
        </w:rPr>
        <w:t>v rozdelení na prioritné osi, investičné priority a</w:t>
      </w:r>
      <w:r>
        <w:rPr>
          <w:rFonts w:eastAsiaTheme="minorHAnsi"/>
          <w:b/>
        </w:rPr>
        <w:t xml:space="preserve"> v relevantných prípadoch podľa </w:t>
      </w:r>
      <w:r w:rsidRPr="003A1809">
        <w:rPr>
          <w:rFonts w:eastAsiaTheme="minorHAnsi"/>
          <w:b/>
        </w:rPr>
        <w:t>kategórie regiónov</w:t>
      </w:r>
    </w:p>
    <w:p w:rsidR="00222275" w:rsidRPr="003A1809" w:rsidRDefault="00222275" w:rsidP="00222275">
      <w:pPr>
        <w:keepNext/>
        <w:jc w:val="both"/>
        <w:rPr>
          <w:rFonts w:eastAsiaTheme="minorHAnsi"/>
          <w:b/>
        </w:rPr>
      </w:pPr>
      <w:r w:rsidRPr="003D2845">
        <w:rPr>
          <w:rFonts w:eastAsiaTheme="minorHAnsi"/>
        </w:rPr>
        <w:t>Požadované informácie nie sú pre OP TP relevantné.</w:t>
      </w:r>
    </w:p>
    <w:p w:rsidR="006A6268" w:rsidRDefault="006A6268" w:rsidP="006A6268">
      <w:pPr>
        <w:jc w:val="both"/>
      </w:pPr>
    </w:p>
    <w:p w:rsidR="00222275" w:rsidRDefault="00222275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A1107E" w:rsidRDefault="00A1107E" w:rsidP="006A6268">
      <w:pPr>
        <w:jc w:val="both"/>
      </w:pPr>
    </w:p>
    <w:p w:rsidR="00377373" w:rsidRDefault="00377373" w:rsidP="00D40FDF">
      <w:pPr>
        <w:spacing w:line="276" w:lineRule="auto"/>
        <w:jc w:val="both"/>
        <w:rPr>
          <w:rFonts w:eastAsiaTheme="minorHAnsi"/>
          <w:b/>
        </w:rPr>
        <w:sectPr w:rsidR="00377373">
          <w:head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D1D7A" w:rsidRDefault="00A1107E" w:rsidP="00D40FDF">
      <w:pPr>
        <w:spacing w:line="276" w:lineRule="auto"/>
        <w:jc w:val="both"/>
        <w:rPr>
          <w:rFonts w:eastAsiaTheme="minorHAnsi"/>
          <w:b/>
        </w:rPr>
      </w:pPr>
      <w:r>
        <w:rPr>
          <w:rFonts w:eastAsiaTheme="minorHAnsi"/>
          <w:b/>
        </w:rPr>
        <w:lastRenderedPageBreak/>
        <w:t xml:space="preserve">Tabuľka 3A </w:t>
      </w:r>
      <w:r w:rsidRPr="00CB0F5E">
        <w:rPr>
          <w:rFonts w:eastAsiaTheme="minorHAnsi"/>
          <w:b/>
        </w:rPr>
        <w:t>Spoločné a  programovo špecif</w:t>
      </w:r>
      <w:r>
        <w:rPr>
          <w:rFonts w:eastAsiaTheme="minorHAnsi"/>
          <w:b/>
        </w:rPr>
        <w:t>ické ukazovatele výstupu pre EFRR</w:t>
      </w:r>
      <w:r w:rsidRPr="00CB0F5E">
        <w:rPr>
          <w:rFonts w:eastAsiaTheme="minorHAnsi"/>
          <w:b/>
        </w:rPr>
        <w:t xml:space="preserve"> a KF</w:t>
      </w:r>
      <w:r w:rsidRPr="00CB0F5E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br/>
      </w:r>
      <w:r w:rsidRPr="00CB0F5E">
        <w:rPr>
          <w:rFonts w:eastAsiaTheme="minorHAnsi"/>
          <w:b/>
        </w:rPr>
        <w:t>v rozdelení na prioritné osi, investičné priori</w:t>
      </w:r>
      <w:r>
        <w:rPr>
          <w:rFonts w:eastAsiaTheme="minorHAnsi"/>
          <w:b/>
        </w:rPr>
        <w:t>ty a kategórie regiónov pre EFRR</w:t>
      </w:r>
      <w:r w:rsidRPr="00CB0F5E">
        <w:rPr>
          <w:rFonts w:eastAsiaTheme="minorHAnsi"/>
          <w:b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670"/>
        <w:gridCol w:w="1616"/>
        <w:gridCol w:w="857"/>
        <w:gridCol w:w="673"/>
        <w:gridCol w:w="1053"/>
        <w:gridCol w:w="474"/>
        <w:gridCol w:w="634"/>
        <w:gridCol w:w="634"/>
        <w:gridCol w:w="474"/>
        <w:gridCol w:w="634"/>
        <w:gridCol w:w="634"/>
        <w:gridCol w:w="634"/>
        <w:gridCol w:w="634"/>
        <w:gridCol w:w="673"/>
        <w:gridCol w:w="436"/>
        <w:gridCol w:w="436"/>
        <w:gridCol w:w="436"/>
        <w:gridCol w:w="776"/>
      </w:tblGrid>
      <w:tr w:rsidR="0007731E" w:rsidRPr="00AA7D81" w:rsidTr="0007731E">
        <w:trPr>
          <w:trHeight w:val="582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2877FA" w:rsidRPr="00AA7D81" w:rsidRDefault="002877FA" w:rsidP="00E54B9B">
            <w:pPr>
              <w:spacing w:line="276" w:lineRule="auto"/>
              <w:ind w:hanging="28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0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F41510" w:rsidRDefault="002877FA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1.</w:t>
            </w:r>
          </w:p>
        </w:tc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F41510" w:rsidRDefault="002877FA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2.</w:t>
            </w:r>
          </w:p>
        </w:tc>
        <w:tc>
          <w:tcPr>
            <w:tcW w:w="307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F41510" w:rsidRDefault="002877FA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3.</w:t>
            </w:r>
          </w:p>
        </w:tc>
        <w:tc>
          <w:tcPr>
            <w:tcW w:w="241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F41510" w:rsidRDefault="002877FA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4.</w:t>
            </w:r>
          </w:p>
        </w:tc>
        <w:tc>
          <w:tcPr>
            <w:tcW w:w="377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F41510" w:rsidRDefault="002877FA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5.</w:t>
            </w:r>
          </w:p>
        </w:tc>
        <w:tc>
          <w:tcPr>
            <w:tcW w:w="623" w:type="pct"/>
            <w:gridSpan w:val="3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F41510" w:rsidRDefault="002877FA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6.</w:t>
            </w:r>
          </w:p>
        </w:tc>
        <w:tc>
          <w:tcPr>
            <w:tcW w:w="1316" w:type="pct"/>
            <w:gridSpan w:val="6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F41510" w:rsidRDefault="002877FA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7</w:t>
            </w: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467" w:type="pct"/>
            <w:gridSpan w:val="3"/>
            <w:shd w:val="clear" w:color="auto" w:fill="B8CCE4" w:themeFill="accent1" w:themeFillTint="66"/>
          </w:tcPr>
          <w:p w:rsidR="002877FA" w:rsidRDefault="002877FA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  <w:p w:rsidR="002877FA" w:rsidRDefault="002877FA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8.</w:t>
            </w:r>
          </w:p>
        </w:tc>
        <w:tc>
          <w:tcPr>
            <w:tcW w:w="274" w:type="pct"/>
            <w:shd w:val="clear" w:color="auto" w:fill="B8CCE4" w:themeFill="accent1" w:themeFillTint="66"/>
            <w:vAlign w:val="center"/>
          </w:tcPr>
          <w:p w:rsidR="002877FA" w:rsidRPr="00F41510" w:rsidRDefault="002877FA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9.</w:t>
            </w:r>
          </w:p>
        </w:tc>
      </w:tr>
      <w:tr w:rsidR="0007731E" w:rsidRPr="00AA7D81" w:rsidTr="0007731E">
        <w:trPr>
          <w:trHeight w:val="832"/>
        </w:trPr>
        <w:tc>
          <w:tcPr>
            <w:tcW w:w="578" w:type="pct"/>
            <w:vMerge w:val="restar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2877FA" w:rsidRPr="00046C9F" w:rsidRDefault="002877FA" w:rsidP="00E54B9B">
            <w:pPr>
              <w:spacing w:after="200" w:line="276" w:lineRule="auto"/>
              <w:ind w:left="283" w:hanging="28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Prioritn</w:t>
            </w:r>
            <w:r w:rsidRPr="00046C9F">
              <w:rPr>
                <w:rFonts w:eastAsiaTheme="minorHAnsi"/>
                <w:b/>
                <w:sz w:val="18"/>
                <w:szCs w:val="18"/>
                <w:lang w:eastAsia="en-US"/>
              </w:rPr>
              <w:t>á os 1</w:t>
            </w:r>
          </w:p>
        </w:tc>
        <w:tc>
          <w:tcPr>
            <w:tcW w:w="240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774A09" w:rsidRDefault="002877FA" w:rsidP="00E54B9B">
            <w:pPr>
              <w:spacing w:after="200" w:line="276" w:lineRule="auto"/>
              <w:ind w:left="33" w:hanging="3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ID</w:t>
            </w:r>
          </w:p>
        </w:tc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774A09" w:rsidRDefault="002877FA" w:rsidP="00E54B9B">
            <w:pPr>
              <w:spacing w:after="200" w:line="276" w:lineRule="auto"/>
              <w:ind w:left="34" w:hanging="34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Ukazovateľ výstupu</w:t>
            </w:r>
          </w:p>
        </w:tc>
        <w:tc>
          <w:tcPr>
            <w:tcW w:w="307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774A09" w:rsidRDefault="002877FA" w:rsidP="00E54B9B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Merná jednotka</w:t>
            </w:r>
          </w:p>
        </w:tc>
        <w:tc>
          <w:tcPr>
            <w:tcW w:w="241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774A09" w:rsidRDefault="002877FA" w:rsidP="00E54B9B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Fond</w:t>
            </w:r>
          </w:p>
        </w:tc>
        <w:tc>
          <w:tcPr>
            <w:tcW w:w="377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774A09" w:rsidRDefault="002877FA" w:rsidP="00E54B9B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Kategória regiónu</w:t>
            </w:r>
          </w:p>
        </w:tc>
        <w:tc>
          <w:tcPr>
            <w:tcW w:w="623" w:type="pct"/>
            <w:gridSpan w:val="3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774A09" w:rsidRDefault="002877FA" w:rsidP="00E54B9B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Cieľová hodnota (2023)</w:t>
            </w:r>
          </w:p>
        </w:tc>
        <w:tc>
          <w:tcPr>
            <w:tcW w:w="623" w:type="pct"/>
            <w:gridSpan w:val="3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0841B2" w:rsidRDefault="002877FA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CB0F5E">
              <w:rPr>
                <w:rFonts w:eastAsiaTheme="minorHAnsi"/>
                <w:b/>
                <w:sz w:val="16"/>
                <w:szCs w:val="16"/>
                <w:lang w:eastAsia="de-DE"/>
              </w:rPr>
              <w:t>2014</w:t>
            </w:r>
          </w:p>
        </w:tc>
        <w:tc>
          <w:tcPr>
            <w:tcW w:w="693" w:type="pct"/>
            <w:gridSpan w:val="3"/>
            <w:shd w:val="clear" w:color="auto" w:fill="B8CCE4" w:themeFill="accent1" w:themeFillTint="66"/>
            <w:vAlign w:val="center"/>
          </w:tcPr>
          <w:p w:rsidR="002877FA" w:rsidRPr="000841B2" w:rsidRDefault="002877FA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6"/>
                <w:szCs w:val="16"/>
                <w:lang w:eastAsia="de-DE"/>
              </w:rPr>
              <w:t>20</w:t>
            </w:r>
            <w:r w:rsidRPr="00CB0F5E">
              <w:rPr>
                <w:rFonts w:eastAsiaTheme="minorHAnsi"/>
                <w:b/>
                <w:sz w:val="16"/>
                <w:szCs w:val="16"/>
                <w:lang w:eastAsia="de-DE"/>
              </w:rPr>
              <w:t>15</w:t>
            </w:r>
          </w:p>
        </w:tc>
        <w:tc>
          <w:tcPr>
            <w:tcW w:w="467" w:type="pct"/>
            <w:gridSpan w:val="3"/>
            <w:shd w:val="clear" w:color="auto" w:fill="B8CCE4" w:themeFill="accent1" w:themeFillTint="66"/>
          </w:tcPr>
          <w:p w:rsidR="002877FA" w:rsidRDefault="002877FA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  <w:p w:rsidR="002877FA" w:rsidRDefault="002877FA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  <w:p w:rsidR="002877FA" w:rsidRPr="00CB0F5E" w:rsidRDefault="002877FA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b/>
                <w:sz w:val="16"/>
                <w:szCs w:val="16"/>
                <w:lang w:eastAsia="de-DE"/>
              </w:rPr>
              <w:t>2016</w:t>
            </w:r>
          </w:p>
        </w:tc>
        <w:tc>
          <w:tcPr>
            <w:tcW w:w="274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2877FA" w:rsidRPr="00CB0F5E" w:rsidRDefault="002877FA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  <w:r w:rsidRPr="00CB0F5E">
              <w:rPr>
                <w:rFonts w:eastAsiaTheme="minorHAnsi"/>
                <w:b/>
                <w:sz w:val="16"/>
                <w:szCs w:val="16"/>
                <w:lang w:eastAsia="de-DE"/>
              </w:rPr>
              <w:t>Poznámka</w:t>
            </w:r>
          </w:p>
        </w:tc>
      </w:tr>
      <w:tr w:rsidR="00102335" w:rsidRPr="00AA7D81" w:rsidTr="0007731E">
        <w:trPr>
          <w:cantSplit/>
          <w:trHeight w:val="684"/>
        </w:trPr>
        <w:tc>
          <w:tcPr>
            <w:tcW w:w="578" w:type="pct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EE694E" w:rsidRPr="00AA7D81" w:rsidRDefault="00EE694E" w:rsidP="00E54B9B">
            <w:pPr>
              <w:spacing w:after="200" w:line="276" w:lineRule="auto"/>
              <w:ind w:left="283" w:hanging="28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0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EE694E" w:rsidRPr="00AA7D81" w:rsidRDefault="00EE694E" w:rsidP="00E54B9B">
            <w:pPr>
              <w:spacing w:after="200" w:line="276" w:lineRule="auto"/>
              <w:ind w:left="33" w:hanging="3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EE694E" w:rsidRPr="00AA7D81" w:rsidRDefault="00EE694E" w:rsidP="00E54B9B">
            <w:pPr>
              <w:spacing w:after="200" w:line="276" w:lineRule="auto"/>
              <w:ind w:left="283" w:hanging="28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307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EE694E" w:rsidRPr="00AA7D81" w:rsidRDefault="00EE694E" w:rsidP="00E54B9B">
            <w:pPr>
              <w:spacing w:after="200" w:line="276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1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EE694E" w:rsidRPr="00AA7D81" w:rsidRDefault="00EE694E" w:rsidP="00E54B9B">
            <w:pPr>
              <w:spacing w:after="200" w:line="276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377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EE694E" w:rsidRPr="00AA7D81" w:rsidRDefault="00EE694E" w:rsidP="00E54B9B">
            <w:pPr>
              <w:spacing w:after="200" w:line="276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" w:type="pct"/>
            <w:shd w:val="clear" w:color="auto" w:fill="B8CCE4" w:themeFill="accent1" w:themeFillTint="66"/>
            <w:tcMar>
              <w:left w:w="28" w:type="dxa"/>
              <w:right w:w="28" w:type="dxa"/>
            </w:tcMar>
            <w:textDirection w:val="btLr"/>
          </w:tcPr>
          <w:p w:rsidR="00EE694E" w:rsidRPr="00960B56" w:rsidRDefault="00EE694E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226" w:type="pct"/>
            <w:shd w:val="clear" w:color="auto" w:fill="B8CCE4" w:themeFill="accent1" w:themeFillTint="66"/>
            <w:textDirection w:val="btLr"/>
          </w:tcPr>
          <w:p w:rsidR="00EE694E" w:rsidRPr="00960B56" w:rsidRDefault="00EE694E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Ž</w:t>
            </w:r>
          </w:p>
        </w:tc>
        <w:tc>
          <w:tcPr>
            <w:tcW w:w="227" w:type="pct"/>
            <w:shd w:val="clear" w:color="auto" w:fill="B8CCE4" w:themeFill="accent1" w:themeFillTint="66"/>
            <w:textDirection w:val="btLr"/>
          </w:tcPr>
          <w:p w:rsidR="00EE694E" w:rsidRPr="00960B56" w:rsidRDefault="00EE694E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170" w:type="pct"/>
            <w:shd w:val="clear" w:color="auto" w:fill="B8CCE4" w:themeFill="accent1" w:themeFillTint="66"/>
            <w:tcMar>
              <w:left w:w="28" w:type="dxa"/>
              <w:right w:w="28" w:type="dxa"/>
            </w:tcMar>
            <w:textDirection w:val="btLr"/>
          </w:tcPr>
          <w:p w:rsidR="00EE694E" w:rsidRPr="00960B56" w:rsidRDefault="00EE694E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226" w:type="pct"/>
            <w:shd w:val="clear" w:color="auto" w:fill="B8CCE4" w:themeFill="accent1" w:themeFillTint="66"/>
            <w:textDirection w:val="btLr"/>
          </w:tcPr>
          <w:p w:rsidR="00EE694E" w:rsidRPr="00960B56" w:rsidRDefault="00EE694E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Ž</w:t>
            </w:r>
          </w:p>
        </w:tc>
        <w:tc>
          <w:tcPr>
            <w:tcW w:w="227" w:type="pct"/>
            <w:shd w:val="clear" w:color="auto" w:fill="B8CCE4" w:themeFill="accent1" w:themeFillTint="66"/>
            <w:textDirection w:val="btLr"/>
          </w:tcPr>
          <w:p w:rsidR="00EE694E" w:rsidRPr="00960B56" w:rsidRDefault="00EE694E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226" w:type="pct"/>
            <w:shd w:val="clear" w:color="auto" w:fill="B8CCE4" w:themeFill="accent1" w:themeFillTint="66"/>
            <w:textDirection w:val="btLr"/>
          </w:tcPr>
          <w:p w:rsidR="00EE694E" w:rsidRPr="00960B56" w:rsidRDefault="00EE694E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226" w:type="pct"/>
            <w:shd w:val="clear" w:color="auto" w:fill="B8CCE4" w:themeFill="accent1" w:themeFillTint="66"/>
            <w:textDirection w:val="btLr"/>
          </w:tcPr>
          <w:p w:rsidR="00EE694E" w:rsidRPr="00960B56" w:rsidRDefault="00EE694E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Ž</w:t>
            </w:r>
          </w:p>
        </w:tc>
        <w:tc>
          <w:tcPr>
            <w:tcW w:w="241" w:type="pct"/>
            <w:shd w:val="clear" w:color="auto" w:fill="B8CCE4" w:themeFill="accent1" w:themeFillTint="66"/>
            <w:textDirection w:val="btLr"/>
          </w:tcPr>
          <w:p w:rsidR="00EE694E" w:rsidRPr="00960B56" w:rsidRDefault="00EE694E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156" w:type="pct"/>
            <w:shd w:val="clear" w:color="auto" w:fill="B8CCE4" w:themeFill="accent1" w:themeFillTint="66"/>
            <w:textDirection w:val="btLr"/>
          </w:tcPr>
          <w:p w:rsidR="00EE694E" w:rsidRPr="00AA7D81" w:rsidRDefault="00EE694E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4"/>
                <w:szCs w:val="14"/>
                <w:lang w:eastAsia="de-DE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     </w:t>
            </w: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56" w:type="pct"/>
            <w:shd w:val="clear" w:color="auto" w:fill="B8CCE4" w:themeFill="accent1" w:themeFillTint="66"/>
            <w:textDirection w:val="btLr"/>
          </w:tcPr>
          <w:p w:rsidR="00EE694E" w:rsidRPr="00AA7D81" w:rsidRDefault="00EE694E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4"/>
                <w:szCs w:val="14"/>
                <w:lang w:eastAsia="de-DE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     </w:t>
            </w: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Ž</w:t>
            </w:r>
          </w:p>
        </w:tc>
        <w:tc>
          <w:tcPr>
            <w:tcW w:w="156" w:type="pct"/>
            <w:shd w:val="clear" w:color="auto" w:fill="B8CCE4" w:themeFill="accent1" w:themeFillTint="66"/>
            <w:textDirection w:val="btLr"/>
          </w:tcPr>
          <w:p w:rsidR="00EE694E" w:rsidRPr="00AA7D81" w:rsidRDefault="00EE694E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4"/>
                <w:szCs w:val="14"/>
                <w:lang w:eastAsia="de-DE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  </w:t>
            </w: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274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EE694E" w:rsidRPr="00AA7D81" w:rsidRDefault="00EE694E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4"/>
                <w:szCs w:val="14"/>
                <w:lang w:eastAsia="de-DE"/>
              </w:rPr>
            </w:pPr>
          </w:p>
        </w:tc>
      </w:tr>
      <w:tr w:rsidR="0007731E" w:rsidRPr="00AA7D81" w:rsidTr="004A0ED8">
        <w:trPr>
          <w:cantSplit/>
          <w:trHeight w:val="1187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7731E" w:rsidRPr="00043E8B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vybrané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prognózy, ktoré poskytli prijímatelia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07731E" w:rsidRPr="00043E8B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O0205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Priemerný počet pracovníkov refundovaných z OP TP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170" w:type="pct"/>
            <w:vMerge w:val="restar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 w:val="restar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509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07731E" w:rsidRPr="00EB4FE5" w:rsidRDefault="0007731E" w:rsidP="00EE694E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303,36</w:t>
            </w:r>
          </w:p>
        </w:tc>
        <w:tc>
          <w:tcPr>
            <w:tcW w:w="156" w:type="pct"/>
            <w:textDirection w:val="btLr"/>
          </w:tcPr>
          <w:p w:rsidR="0007731E" w:rsidRPr="00EB4FE5" w:rsidRDefault="0007731E" w:rsidP="00EE694E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128,51</w:t>
            </w:r>
          </w:p>
        </w:tc>
        <w:tc>
          <w:tcPr>
            <w:tcW w:w="156" w:type="pct"/>
            <w:textDirection w:val="btLr"/>
          </w:tcPr>
          <w:p w:rsidR="0007731E" w:rsidRPr="00EB4FE5" w:rsidRDefault="0007731E" w:rsidP="00EE694E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431,87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07731E" w:rsidRPr="00AA7D81" w:rsidTr="004A0ED8">
        <w:trPr>
          <w:cantSplit/>
          <w:trHeight w:val="1447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7731E" w:rsidRPr="00043E8B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07731E" w:rsidRPr="00043E8B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vMerge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shd w:val="clear" w:color="auto" w:fill="FFFFFF" w:themeFill="background1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FFFFFF" w:themeFill="background1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FFFFFF" w:themeFill="background1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FFFFFF" w:themeFill="background1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FFFFFF" w:themeFill="background1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FFFFFF" w:themeFill="background1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shd w:val="clear" w:color="auto" w:fill="FFFFFF" w:themeFill="background1"/>
            <w:textDirection w:val="btLr"/>
          </w:tcPr>
          <w:p w:rsidR="0007731E" w:rsidRDefault="00695301" w:rsidP="00EE694E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133,01</w:t>
            </w:r>
          </w:p>
        </w:tc>
        <w:tc>
          <w:tcPr>
            <w:tcW w:w="156" w:type="pct"/>
            <w:shd w:val="clear" w:color="auto" w:fill="FFFFFF" w:themeFill="background1"/>
            <w:textDirection w:val="btLr"/>
          </w:tcPr>
          <w:p w:rsidR="0007731E" w:rsidRDefault="00695301" w:rsidP="00EE694E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15,75</w:t>
            </w:r>
          </w:p>
        </w:tc>
        <w:tc>
          <w:tcPr>
            <w:tcW w:w="156" w:type="pct"/>
            <w:shd w:val="clear" w:color="auto" w:fill="FFFFFF" w:themeFill="background1"/>
            <w:textDirection w:val="btLr"/>
          </w:tcPr>
          <w:p w:rsidR="0007731E" w:rsidRDefault="00695301" w:rsidP="00EE694E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148,76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:rsidR="0007731E" w:rsidRPr="00EB4FE5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7731E" w:rsidRPr="00EB4FE5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07731E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7731E" w:rsidRPr="00043E8B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vybrané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prognózy, ktoré poskytli prijímatelia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07731E" w:rsidRPr="00043E8B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O0206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zrealizovaných informačných kampaní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170" w:type="pct"/>
            <w:vMerge w:val="restar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 w:val="restar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2</w:t>
            </w:r>
          </w:p>
        </w:tc>
      </w:tr>
      <w:tr w:rsidR="0007731E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7731E" w:rsidRPr="00043E8B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lastRenderedPageBreak/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07731E" w:rsidRPr="00043E8B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vMerge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07731E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7731E" w:rsidRPr="00EB4FE5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7731E" w:rsidRPr="00EB4FE5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2</w:t>
            </w:r>
          </w:p>
        </w:tc>
      </w:tr>
      <w:tr w:rsidR="0007731E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7731E" w:rsidRPr="00043E8B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lastRenderedPageBreak/>
              <w:t xml:space="preserve">Kumulatívna hodnota – vybrané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prognózy, ktoré poskytli prijímatelia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07731E" w:rsidRPr="00043E8B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O0207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zrealizovaných informačných aktivít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170" w:type="pct"/>
            <w:vMerge w:val="restar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 w:val="restar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150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44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2</w:t>
            </w:r>
          </w:p>
        </w:tc>
      </w:tr>
      <w:tr w:rsidR="0007731E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7731E" w:rsidRPr="00043E8B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07731E" w:rsidRPr="00043E8B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vMerge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07731E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7731E" w:rsidRPr="00EB4FE5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7731E" w:rsidRPr="00EB4FE5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2</w:t>
            </w:r>
          </w:p>
        </w:tc>
      </w:tr>
      <w:tr w:rsidR="0007731E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7731E" w:rsidRPr="00043E8B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vybrané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prognózy, ktoré poskytli prijímatelia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07731E" w:rsidRPr="00043E8B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O0209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vyškolených účastníkov špecifických školení a kurzov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07731E" w:rsidRPr="00EB4FE5" w:rsidRDefault="0007731E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170" w:type="pct"/>
            <w:vMerge w:val="restar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 w:val="restar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1600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07731E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07731E" w:rsidRPr="00043E8B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07731E" w:rsidRPr="00043E8B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07731E" w:rsidRPr="00EB4FE5" w:rsidRDefault="0007731E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vMerge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07731E" w:rsidRPr="00EB4FE5" w:rsidRDefault="0007731E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07731E" w:rsidRPr="00EB4FE5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07731E" w:rsidRDefault="0007731E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07731E" w:rsidRPr="00EB4FE5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07731E" w:rsidRPr="00EB4FE5" w:rsidRDefault="0007731E" w:rsidP="0007731E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2420B2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2420B2" w:rsidRPr="00043E8B" w:rsidRDefault="002420B2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lastRenderedPageBreak/>
              <w:t xml:space="preserve">Kumulatívna hodnota – vybrané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prognózy, ktoré poskytli prijímatelia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2420B2" w:rsidRPr="00043E8B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O0210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zrealizovaných podujatí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2420B2" w:rsidRPr="004A0ED8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2420B2" w:rsidRPr="004A0ED8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2420B2" w:rsidRPr="004A0ED8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170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60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3</w:t>
            </w:r>
          </w:p>
        </w:tc>
      </w:tr>
      <w:tr w:rsidR="002420B2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2420B2" w:rsidRPr="00043E8B" w:rsidRDefault="002420B2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2420B2" w:rsidRPr="00043E8B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20B2" w:rsidRPr="00EB4FE5" w:rsidRDefault="002420B2" w:rsidP="002420B2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2420B2" w:rsidRPr="00EB4FE5" w:rsidRDefault="002420B2" w:rsidP="002420B2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3</w:t>
            </w:r>
          </w:p>
        </w:tc>
      </w:tr>
      <w:tr w:rsidR="002420B2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2420B2" w:rsidRPr="00043E8B" w:rsidRDefault="002420B2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vybrané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prognózy, ktoré poskytli prijímatelia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2420B2" w:rsidRPr="00043E8B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O0211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organizácií regionálnych sietí zapojených do poskytovania poradenstva o EŠIF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170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7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6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3</w:t>
            </w:r>
          </w:p>
        </w:tc>
      </w:tr>
      <w:tr w:rsidR="002420B2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2420B2" w:rsidRPr="00043E8B" w:rsidRDefault="002420B2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2420B2" w:rsidRPr="00043E8B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20B2" w:rsidRPr="00EB4FE5" w:rsidRDefault="002420B2" w:rsidP="002420B2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2420B2" w:rsidRPr="00EB4FE5" w:rsidRDefault="002420B2" w:rsidP="002420B2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3</w:t>
            </w:r>
          </w:p>
        </w:tc>
      </w:tr>
      <w:tr w:rsidR="002420B2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2420B2" w:rsidRPr="00043E8B" w:rsidRDefault="002420B2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vybrané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prognózy, ktoré poskytli prijímatelia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2420B2" w:rsidRPr="00043E8B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O0212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zavedených opatrení na boj proti korupcii a podvodom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170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3</w:t>
            </w:r>
          </w:p>
        </w:tc>
      </w:tr>
      <w:tr w:rsidR="002420B2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2420B2" w:rsidRPr="00043E8B" w:rsidRDefault="002420B2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lastRenderedPageBreak/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2420B2" w:rsidRPr="00043E8B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420B2" w:rsidRPr="00EB4FE5" w:rsidRDefault="00F03854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2420B2" w:rsidRPr="00EB4FE5" w:rsidRDefault="00F03854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Default="00F03854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20B2" w:rsidRPr="00EB4FE5" w:rsidRDefault="002420B2" w:rsidP="002420B2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2420B2" w:rsidRPr="00EB4FE5" w:rsidRDefault="002420B2" w:rsidP="002420B2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3</w:t>
            </w:r>
          </w:p>
        </w:tc>
      </w:tr>
      <w:tr w:rsidR="002420B2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2420B2" w:rsidRPr="00043E8B" w:rsidRDefault="002420B2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lastRenderedPageBreak/>
              <w:t xml:space="preserve">Kumulatívna hodnota – vybrané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prognózy, ktoré poskytli prijímatelia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2420B2" w:rsidRPr="00043E8B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O0213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vypracovaných materiálov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170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60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3</w:t>
            </w:r>
          </w:p>
        </w:tc>
      </w:tr>
      <w:tr w:rsidR="002420B2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2420B2" w:rsidRPr="00043E8B" w:rsidRDefault="002420B2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2420B2" w:rsidRPr="00043E8B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20B2" w:rsidRPr="00EB4FE5" w:rsidRDefault="002420B2" w:rsidP="002420B2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2420B2" w:rsidRPr="00EB4FE5" w:rsidRDefault="002420B2" w:rsidP="002420B2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3</w:t>
            </w:r>
          </w:p>
        </w:tc>
      </w:tr>
      <w:tr w:rsidR="002420B2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2420B2" w:rsidRPr="00043E8B" w:rsidRDefault="002420B2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vybrané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prognózy, ktoré poskytli prijímatelia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2420B2" w:rsidRPr="00043E8B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O0218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vyškolených účastníkov v rámci centrálneho systému vzdelávania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170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7500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4 019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2420B2" w:rsidRPr="00AA7D81" w:rsidTr="0007731E">
        <w:trPr>
          <w:cantSplit/>
          <w:trHeight w:val="1134"/>
        </w:trPr>
        <w:tc>
          <w:tcPr>
            <w:tcW w:w="578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2420B2" w:rsidRPr="00043E8B" w:rsidRDefault="002420B2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2420B2" w:rsidRPr="00043E8B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0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2420B2" w:rsidRPr="00EB4FE5" w:rsidRDefault="002420B2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:rsidR="002420B2" w:rsidRPr="00EB4FE5" w:rsidRDefault="002420B2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Pr="00EB4FE5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2420B2" w:rsidRDefault="002420B2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2420B2" w:rsidRPr="00EB4FE5" w:rsidRDefault="002420B2" w:rsidP="002420B2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1</w:t>
            </w:r>
          </w:p>
          <w:p w:rsidR="002420B2" w:rsidRPr="00EB4FE5" w:rsidRDefault="002420B2" w:rsidP="002420B2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</w:tbl>
    <w:p w:rsidR="00AD1D7A" w:rsidRDefault="00A1107E" w:rsidP="00D40FDF">
      <w:pPr>
        <w:spacing w:line="276" w:lineRule="auto"/>
        <w:jc w:val="both"/>
        <w:rPr>
          <w:rFonts w:eastAsiaTheme="minorHAnsi"/>
          <w:b/>
          <w:sz w:val="16"/>
          <w:szCs w:val="16"/>
        </w:rPr>
      </w:pPr>
      <w:r w:rsidRPr="00A1107E">
        <w:rPr>
          <w:rFonts w:eastAsiaTheme="minorHAnsi"/>
          <w:b/>
          <w:sz w:val="16"/>
          <w:szCs w:val="16"/>
        </w:rPr>
        <w:t>Zdroj: ITMS</w:t>
      </w:r>
    </w:p>
    <w:p w:rsidR="002420B2" w:rsidRDefault="002420B2" w:rsidP="00D40FDF">
      <w:pPr>
        <w:spacing w:line="276" w:lineRule="auto"/>
        <w:jc w:val="both"/>
        <w:rPr>
          <w:rFonts w:eastAsiaTheme="minorHAnsi"/>
          <w:b/>
          <w:sz w:val="16"/>
          <w:szCs w:val="16"/>
        </w:rPr>
      </w:pPr>
    </w:p>
    <w:p w:rsidR="002420B2" w:rsidRPr="00A1107E" w:rsidRDefault="002420B2" w:rsidP="00D40FDF">
      <w:pPr>
        <w:spacing w:line="276" w:lineRule="auto"/>
        <w:jc w:val="both"/>
        <w:rPr>
          <w:rFonts w:eastAsiaTheme="minorHAnsi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675"/>
        <w:gridCol w:w="1621"/>
        <w:gridCol w:w="863"/>
        <w:gridCol w:w="675"/>
        <w:gridCol w:w="1053"/>
        <w:gridCol w:w="474"/>
        <w:gridCol w:w="634"/>
        <w:gridCol w:w="634"/>
        <w:gridCol w:w="474"/>
        <w:gridCol w:w="634"/>
        <w:gridCol w:w="634"/>
        <w:gridCol w:w="634"/>
        <w:gridCol w:w="634"/>
        <w:gridCol w:w="650"/>
        <w:gridCol w:w="436"/>
        <w:gridCol w:w="436"/>
        <w:gridCol w:w="436"/>
        <w:gridCol w:w="776"/>
      </w:tblGrid>
      <w:tr w:rsidR="00EA2B28" w:rsidRPr="00AA7D81" w:rsidTr="004A0ED8">
        <w:trPr>
          <w:trHeight w:val="582"/>
        </w:trPr>
        <w:tc>
          <w:tcPr>
            <w:tcW w:w="580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EA2B28" w:rsidRPr="00AA7D81" w:rsidRDefault="00EA2B28" w:rsidP="00E54B9B">
            <w:pPr>
              <w:spacing w:line="276" w:lineRule="auto"/>
              <w:ind w:hanging="28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2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F41510" w:rsidRDefault="00EA2B28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1.</w:t>
            </w:r>
          </w:p>
        </w:tc>
        <w:tc>
          <w:tcPr>
            <w:tcW w:w="580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F41510" w:rsidRDefault="00EA2B28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2.</w:t>
            </w:r>
          </w:p>
        </w:tc>
        <w:tc>
          <w:tcPr>
            <w:tcW w:w="309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F41510" w:rsidRDefault="00EA2B28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3.</w:t>
            </w:r>
          </w:p>
        </w:tc>
        <w:tc>
          <w:tcPr>
            <w:tcW w:w="242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F41510" w:rsidRDefault="00EA2B28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4.</w:t>
            </w:r>
          </w:p>
        </w:tc>
        <w:tc>
          <w:tcPr>
            <w:tcW w:w="377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F41510" w:rsidRDefault="00EA2B28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5.</w:t>
            </w:r>
          </w:p>
        </w:tc>
        <w:tc>
          <w:tcPr>
            <w:tcW w:w="623" w:type="pct"/>
            <w:gridSpan w:val="3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F41510" w:rsidRDefault="00EA2B28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6.</w:t>
            </w:r>
          </w:p>
        </w:tc>
        <w:tc>
          <w:tcPr>
            <w:tcW w:w="1308" w:type="pct"/>
            <w:gridSpan w:val="6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F41510" w:rsidRDefault="00EA2B28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7</w:t>
            </w:r>
            <w:r w:rsidRPr="00F41510">
              <w:rPr>
                <w:rFonts w:eastAsiaTheme="minorHAnsi"/>
                <w:b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467" w:type="pct"/>
            <w:gridSpan w:val="3"/>
            <w:shd w:val="clear" w:color="auto" w:fill="B8CCE4" w:themeFill="accent1" w:themeFillTint="66"/>
          </w:tcPr>
          <w:p w:rsidR="00EA2B28" w:rsidRDefault="00EA2B28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  <w:p w:rsidR="00EA2B28" w:rsidRDefault="00EA2B28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8.</w:t>
            </w:r>
          </w:p>
        </w:tc>
        <w:tc>
          <w:tcPr>
            <w:tcW w:w="274" w:type="pct"/>
            <w:shd w:val="clear" w:color="auto" w:fill="B8CCE4" w:themeFill="accent1" w:themeFillTint="66"/>
            <w:vAlign w:val="center"/>
          </w:tcPr>
          <w:p w:rsidR="00EA2B28" w:rsidRPr="00F41510" w:rsidRDefault="00EA2B28" w:rsidP="00E54B9B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9.</w:t>
            </w:r>
          </w:p>
        </w:tc>
      </w:tr>
      <w:tr w:rsidR="00EA2B28" w:rsidRPr="00AA7D81" w:rsidTr="004A0ED8">
        <w:trPr>
          <w:trHeight w:val="832"/>
        </w:trPr>
        <w:tc>
          <w:tcPr>
            <w:tcW w:w="580" w:type="pct"/>
            <w:vMerge w:val="restar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EA2B28" w:rsidRPr="00046C9F" w:rsidRDefault="00EA2B28" w:rsidP="00E54B9B">
            <w:pPr>
              <w:spacing w:after="200" w:line="276" w:lineRule="auto"/>
              <w:ind w:left="283" w:hanging="28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Prioritná os 2</w:t>
            </w:r>
          </w:p>
        </w:tc>
        <w:tc>
          <w:tcPr>
            <w:tcW w:w="242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774A09" w:rsidRDefault="00EA2B28" w:rsidP="00E54B9B">
            <w:pPr>
              <w:spacing w:after="200" w:line="276" w:lineRule="auto"/>
              <w:ind w:left="33" w:hanging="3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ID</w:t>
            </w:r>
          </w:p>
        </w:tc>
        <w:tc>
          <w:tcPr>
            <w:tcW w:w="580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774A09" w:rsidRDefault="00EA2B28" w:rsidP="00E54B9B">
            <w:pPr>
              <w:spacing w:after="200" w:line="276" w:lineRule="auto"/>
              <w:ind w:left="34" w:hanging="34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Ukazovateľ výstupu</w:t>
            </w:r>
          </w:p>
        </w:tc>
        <w:tc>
          <w:tcPr>
            <w:tcW w:w="309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774A09" w:rsidRDefault="00EA2B28" w:rsidP="00E54B9B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Merná jednotka</w:t>
            </w:r>
          </w:p>
        </w:tc>
        <w:tc>
          <w:tcPr>
            <w:tcW w:w="242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774A09" w:rsidRDefault="00EA2B28" w:rsidP="00E54B9B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Fond</w:t>
            </w:r>
          </w:p>
        </w:tc>
        <w:tc>
          <w:tcPr>
            <w:tcW w:w="377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774A09" w:rsidRDefault="00EA2B28" w:rsidP="00E54B9B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774A09">
              <w:rPr>
                <w:rFonts w:eastAsiaTheme="minorHAnsi"/>
                <w:b/>
                <w:sz w:val="18"/>
                <w:szCs w:val="18"/>
                <w:lang w:eastAsia="en-US"/>
              </w:rPr>
              <w:t>Kategória regiónu</w:t>
            </w:r>
          </w:p>
        </w:tc>
        <w:tc>
          <w:tcPr>
            <w:tcW w:w="623" w:type="pct"/>
            <w:gridSpan w:val="3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774A09" w:rsidRDefault="00EA2B28" w:rsidP="00E54B9B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Cieľová hodnota (2023)</w:t>
            </w:r>
          </w:p>
        </w:tc>
        <w:tc>
          <w:tcPr>
            <w:tcW w:w="623" w:type="pct"/>
            <w:gridSpan w:val="3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0841B2" w:rsidRDefault="00EA2B28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CB0F5E">
              <w:rPr>
                <w:rFonts w:eastAsiaTheme="minorHAnsi"/>
                <w:b/>
                <w:sz w:val="16"/>
                <w:szCs w:val="16"/>
                <w:lang w:eastAsia="de-DE"/>
              </w:rPr>
              <w:t>2014</w:t>
            </w:r>
          </w:p>
        </w:tc>
        <w:tc>
          <w:tcPr>
            <w:tcW w:w="685" w:type="pct"/>
            <w:gridSpan w:val="3"/>
            <w:shd w:val="clear" w:color="auto" w:fill="B8CCE4" w:themeFill="accent1" w:themeFillTint="66"/>
            <w:vAlign w:val="center"/>
          </w:tcPr>
          <w:p w:rsidR="00EA2B28" w:rsidRPr="000841B2" w:rsidRDefault="00EA2B28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>
              <w:rPr>
                <w:rFonts w:eastAsiaTheme="minorHAnsi"/>
                <w:b/>
                <w:sz w:val="16"/>
                <w:szCs w:val="16"/>
                <w:lang w:eastAsia="de-DE"/>
              </w:rPr>
              <w:t>20</w:t>
            </w:r>
            <w:r w:rsidRPr="00CB0F5E">
              <w:rPr>
                <w:rFonts w:eastAsiaTheme="minorHAnsi"/>
                <w:b/>
                <w:sz w:val="16"/>
                <w:szCs w:val="16"/>
                <w:lang w:eastAsia="de-DE"/>
              </w:rPr>
              <w:t>15</w:t>
            </w:r>
          </w:p>
        </w:tc>
        <w:tc>
          <w:tcPr>
            <w:tcW w:w="467" w:type="pct"/>
            <w:gridSpan w:val="3"/>
            <w:shd w:val="clear" w:color="auto" w:fill="B8CCE4" w:themeFill="accent1" w:themeFillTint="66"/>
          </w:tcPr>
          <w:p w:rsidR="00EA2B28" w:rsidRDefault="00EA2B28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  <w:p w:rsidR="00EA2B28" w:rsidRDefault="00EA2B28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  <w:p w:rsidR="00EA2B28" w:rsidRPr="00CB0F5E" w:rsidRDefault="00EA2B28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b/>
                <w:sz w:val="16"/>
                <w:szCs w:val="16"/>
                <w:lang w:eastAsia="de-DE"/>
              </w:rPr>
              <w:t>2016</w:t>
            </w:r>
          </w:p>
        </w:tc>
        <w:tc>
          <w:tcPr>
            <w:tcW w:w="274" w:type="pct"/>
            <w:shd w:val="clear" w:color="auto" w:fill="B8CCE4" w:themeFill="accent1" w:themeFillTint="66"/>
            <w:tcMar>
              <w:left w:w="28" w:type="dxa"/>
              <w:right w:w="28" w:type="dxa"/>
            </w:tcMar>
            <w:vAlign w:val="center"/>
          </w:tcPr>
          <w:p w:rsidR="00EA2B28" w:rsidRPr="00CB0F5E" w:rsidRDefault="00EA2B28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  <w:r w:rsidRPr="00CB0F5E">
              <w:rPr>
                <w:rFonts w:eastAsiaTheme="minorHAnsi"/>
                <w:b/>
                <w:sz w:val="16"/>
                <w:szCs w:val="16"/>
                <w:lang w:eastAsia="de-DE"/>
              </w:rPr>
              <w:t>Poznámka</w:t>
            </w:r>
          </w:p>
        </w:tc>
      </w:tr>
      <w:tr w:rsidR="00102335" w:rsidRPr="00AA7D81" w:rsidTr="003E1EBB">
        <w:trPr>
          <w:cantSplit/>
          <w:trHeight w:val="684"/>
        </w:trPr>
        <w:tc>
          <w:tcPr>
            <w:tcW w:w="580" w:type="pct"/>
            <w:vMerge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693B39" w:rsidRPr="00AA7D81" w:rsidRDefault="00693B39" w:rsidP="00E54B9B">
            <w:pPr>
              <w:spacing w:after="200" w:line="276" w:lineRule="auto"/>
              <w:ind w:left="283" w:hanging="28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2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693B39" w:rsidRPr="00AA7D81" w:rsidRDefault="00693B39" w:rsidP="00E54B9B">
            <w:pPr>
              <w:spacing w:after="200" w:line="276" w:lineRule="auto"/>
              <w:ind w:left="33" w:hanging="3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580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693B39" w:rsidRPr="00AA7D81" w:rsidRDefault="00693B39" w:rsidP="00E54B9B">
            <w:pPr>
              <w:spacing w:after="200" w:line="276" w:lineRule="auto"/>
              <w:ind w:left="283" w:hanging="283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309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693B39" w:rsidRPr="00AA7D81" w:rsidRDefault="00693B39" w:rsidP="00E54B9B">
            <w:pPr>
              <w:spacing w:after="200" w:line="276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242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693B39" w:rsidRPr="00AA7D81" w:rsidRDefault="00693B39" w:rsidP="00E54B9B">
            <w:pPr>
              <w:spacing w:after="200" w:line="276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377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693B39" w:rsidRPr="00AA7D81" w:rsidRDefault="00693B39" w:rsidP="00E54B9B">
            <w:pPr>
              <w:spacing w:after="200" w:line="276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  <w:tc>
          <w:tcPr>
            <w:tcW w:w="170" w:type="pct"/>
            <w:shd w:val="clear" w:color="auto" w:fill="B8CCE4" w:themeFill="accent1" w:themeFillTint="66"/>
            <w:tcMar>
              <w:left w:w="28" w:type="dxa"/>
              <w:right w:w="28" w:type="dxa"/>
            </w:tcMar>
            <w:textDirection w:val="btLr"/>
          </w:tcPr>
          <w:p w:rsidR="00693B39" w:rsidRPr="00960B56" w:rsidRDefault="00693B39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226" w:type="pct"/>
            <w:shd w:val="clear" w:color="auto" w:fill="B8CCE4" w:themeFill="accent1" w:themeFillTint="66"/>
            <w:textDirection w:val="btLr"/>
          </w:tcPr>
          <w:p w:rsidR="00693B39" w:rsidRPr="00960B56" w:rsidRDefault="00693B39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Ž</w:t>
            </w:r>
          </w:p>
        </w:tc>
        <w:tc>
          <w:tcPr>
            <w:tcW w:w="227" w:type="pct"/>
            <w:shd w:val="clear" w:color="auto" w:fill="B8CCE4" w:themeFill="accent1" w:themeFillTint="66"/>
            <w:textDirection w:val="btLr"/>
          </w:tcPr>
          <w:p w:rsidR="00693B39" w:rsidRPr="00960B56" w:rsidRDefault="00693B39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170" w:type="pct"/>
            <w:shd w:val="clear" w:color="auto" w:fill="B8CCE4" w:themeFill="accent1" w:themeFillTint="66"/>
            <w:tcMar>
              <w:left w:w="28" w:type="dxa"/>
              <w:right w:w="28" w:type="dxa"/>
            </w:tcMar>
            <w:textDirection w:val="btLr"/>
          </w:tcPr>
          <w:p w:rsidR="00693B39" w:rsidRPr="00960B56" w:rsidRDefault="00693B39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226" w:type="pct"/>
            <w:shd w:val="clear" w:color="auto" w:fill="B8CCE4" w:themeFill="accent1" w:themeFillTint="66"/>
            <w:textDirection w:val="btLr"/>
          </w:tcPr>
          <w:p w:rsidR="00693B39" w:rsidRPr="00960B56" w:rsidRDefault="00693B39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Ž</w:t>
            </w:r>
          </w:p>
        </w:tc>
        <w:tc>
          <w:tcPr>
            <w:tcW w:w="227" w:type="pct"/>
            <w:shd w:val="clear" w:color="auto" w:fill="B8CCE4" w:themeFill="accent1" w:themeFillTint="66"/>
            <w:textDirection w:val="btLr"/>
          </w:tcPr>
          <w:p w:rsidR="00693B39" w:rsidRPr="00960B56" w:rsidRDefault="00693B39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226" w:type="pct"/>
            <w:shd w:val="clear" w:color="auto" w:fill="B8CCE4" w:themeFill="accent1" w:themeFillTint="66"/>
            <w:textDirection w:val="btLr"/>
          </w:tcPr>
          <w:p w:rsidR="00693B39" w:rsidRPr="00960B56" w:rsidRDefault="00693B39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226" w:type="pct"/>
            <w:shd w:val="clear" w:color="auto" w:fill="B8CCE4" w:themeFill="accent1" w:themeFillTint="66"/>
            <w:textDirection w:val="btLr"/>
          </w:tcPr>
          <w:p w:rsidR="00693B39" w:rsidRPr="00960B56" w:rsidRDefault="00693B39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Ž</w:t>
            </w:r>
          </w:p>
        </w:tc>
        <w:tc>
          <w:tcPr>
            <w:tcW w:w="233" w:type="pct"/>
            <w:shd w:val="clear" w:color="auto" w:fill="B8CCE4" w:themeFill="accent1" w:themeFillTint="66"/>
            <w:textDirection w:val="btLr"/>
          </w:tcPr>
          <w:p w:rsidR="00693B39" w:rsidRPr="00960B56" w:rsidRDefault="00693B39" w:rsidP="00E54B9B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156" w:type="pct"/>
            <w:shd w:val="clear" w:color="auto" w:fill="B8CCE4" w:themeFill="accent1" w:themeFillTint="66"/>
            <w:textDirection w:val="btLr"/>
          </w:tcPr>
          <w:p w:rsidR="00693B39" w:rsidRPr="00AA7D81" w:rsidRDefault="00693B39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4"/>
                <w:szCs w:val="14"/>
                <w:lang w:eastAsia="de-DE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      </w:t>
            </w: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56" w:type="pct"/>
            <w:shd w:val="clear" w:color="auto" w:fill="B8CCE4" w:themeFill="accent1" w:themeFillTint="66"/>
            <w:textDirection w:val="btLr"/>
          </w:tcPr>
          <w:p w:rsidR="00693B39" w:rsidRPr="00AA7D81" w:rsidRDefault="00693B39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4"/>
                <w:szCs w:val="14"/>
                <w:lang w:eastAsia="de-DE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      </w:t>
            </w: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Ž</w:t>
            </w:r>
          </w:p>
        </w:tc>
        <w:tc>
          <w:tcPr>
            <w:tcW w:w="156" w:type="pct"/>
            <w:shd w:val="clear" w:color="auto" w:fill="B8CCE4" w:themeFill="accent1" w:themeFillTint="66"/>
            <w:textDirection w:val="btLr"/>
          </w:tcPr>
          <w:p w:rsidR="00693B39" w:rsidRPr="00AA7D81" w:rsidRDefault="00693B39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4"/>
                <w:szCs w:val="14"/>
                <w:lang w:eastAsia="de-DE"/>
              </w:rPr>
            </w:pP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  </w:t>
            </w:r>
            <w:r w:rsidRPr="00960B56">
              <w:rPr>
                <w:rFonts w:eastAsiaTheme="minorHAnsi"/>
                <w:b/>
                <w:sz w:val="16"/>
                <w:szCs w:val="16"/>
                <w:lang w:eastAsia="en-US"/>
              </w:rPr>
              <w:t>Spolu</w:t>
            </w:r>
          </w:p>
        </w:tc>
        <w:tc>
          <w:tcPr>
            <w:tcW w:w="274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693B39" w:rsidRPr="00AA7D81" w:rsidRDefault="00693B39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4"/>
                <w:szCs w:val="14"/>
                <w:lang w:eastAsia="de-DE"/>
              </w:rPr>
            </w:pPr>
          </w:p>
        </w:tc>
      </w:tr>
      <w:tr w:rsidR="003E1EBB" w:rsidRPr="00AA7D81" w:rsidTr="003E1EBB">
        <w:trPr>
          <w:cantSplit/>
          <w:trHeight w:val="1134"/>
        </w:trPr>
        <w:tc>
          <w:tcPr>
            <w:tcW w:w="580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3E1EBB" w:rsidRPr="00043E8B" w:rsidRDefault="003E1EBB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vybrané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prognózy, ktoré poskytli prijímatelia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3E1EBB" w:rsidRPr="00043E8B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O0214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 implementovaných princípov e-Kohézie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170" w:type="pct"/>
            <w:vMerge w:val="restar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 w:val="restar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5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2</w:t>
            </w:r>
          </w:p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3E1EBB" w:rsidRPr="00AA7D81" w:rsidTr="003E1EBB">
        <w:trPr>
          <w:cantSplit/>
          <w:trHeight w:val="1134"/>
        </w:trPr>
        <w:tc>
          <w:tcPr>
            <w:tcW w:w="580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3E1EBB" w:rsidRPr="00043E8B" w:rsidRDefault="003E1EBB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3E1EBB" w:rsidRPr="00043E8B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vMerge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E1EBB" w:rsidRPr="00EB4FE5" w:rsidRDefault="003E1EBB" w:rsidP="003E1EB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2</w:t>
            </w:r>
          </w:p>
          <w:p w:rsidR="003E1EBB" w:rsidRPr="00EB4FE5" w:rsidRDefault="003E1EBB" w:rsidP="003E1EB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3E1EBB" w:rsidRPr="00AA7D81" w:rsidTr="003E1EBB">
        <w:trPr>
          <w:cantSplit/>
          <w:trHeight w:val="1134"/>
        </w:trPr>
        <w:tc>
          <w:tcPr>
            <w:tcW w:w="580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3E1EBB" w:rsidRPr="00043E8B" w:rsidRDefault="003E1EBB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vybrané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prognózy, ktoré poskytli prijímatelia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3E1EBB" w:rsidRPr="00043E8B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O0215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implementovaných elektronických služieb dostupných online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170" w:type="pct"/>
            <w:vMerge w:val="restar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 w:val="restar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3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1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2</w:t>
            </w:r>
          </w:p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3E1EBB" w:rsidRPr="00AA7D81" w:rsidTr="003E1EBB">
        <w:trPr>
          <w:cantSplit/>
          <w:trHeight w:val="1134"/>
        </w:trPr>
        <w:tc>
          <w:tcPr>
            <w:tcW w:w="580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3E1EBB" w:rsidRPr="00043E8B" w:rsidRDefault="003E1EBB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3E1EBB" w:rsidRPr="00043E8B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vMerge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E1EBB" w:rsidRPr="00EB4FE5" w:rsidRDefault="003E1EBB" w:rsidP="003E1EB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2</w:t>
            </w:r>
          </w:p>
          <w:p w:rsidR="003E1EBB" w:rsidRPr="00EB4FE5" w:rsidRDefault="003E1EBB" w:rsidP="003E1EB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3E1EBB" w:rsidRPr="00AA7D81" w:rsidTr="003E1EBB">
        <w:trPr>
          <w:cantSplit/>
          <w:trHeight w:val="1134"/>
        </w:trPr>
        <w:tc>
          <w:tcPr>
            <w:tcW w:w="580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3E1EBB" w:rsidRPr="00043E8B" w:rsidRDefault="003E1EBB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lastRenderedPageBreak/>
              <w:t xml:space="preserve">Kumulatívna hodnota – vybrané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prognózy, ktoré poskytli prijímatelia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3E1EBB" w:rsidRPr="00043E8B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O0216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 užívateľov IS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Počet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170" w:type="pct"/>
            <w:vMerge w:val="restar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 w:val="restar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15 000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9 347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2</w:t>
            </w:r>
          </w:p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3E1EBB" w:rsidRPr="00AA7D81" w:rsidTr="003E1EBB">
        <w:trPr>
          <w:cantSplit/>
          <w:trHeight w:val="1134"/>
        </w:trPr>
        <w:tc>
          <w:tcPr>
            <w:tcW w:w="580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3E1EBB" w:rsidRPr="00043E8B" w:rsidRDefault="003E1EBB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3E1EBB" w:rsidRPr="00043E8B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vMerge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E1EBB" w:rsidRPr="00EB4FE5" w:rsidRDefault="003E1EBB" w:rsidP="003E1EB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2</w:t>
            </w:r>
          </w:p>
          <w:p w:rsidR="003E1EBB" w:rsidRPr="00EB4FE5" w:rsidRDefault="003E1EBB" w:rsidP="003E1EB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3E1EBB" w:rsidRPr="00AA7D81" w:rsidTr="003E1EBB">
        <w:trPr>
          <w:cantSplit/>
          <w:trHeight w:val="1134"/>
        </w:trPr>
        <w:tc>
          <w:tcPr>
            <w:tcW w:w="580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3E1EBB" w:rsidRPr="00043E8B" w:rsidRDefault="003E1EBB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vybrané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prognózy, ktoré poskytli prijímatelia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3E1EBB" w:rsidRPr="00043E8B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O0217</w:t>
            </w: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Podiel pracovníkov vybavených materiálno-technickým zabezpečením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%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EFRR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sz w:val="16"/>
                <w:szCs w:val="16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Menej rozvinutý región</w:t>
            </w:r>
          </w:p>
        </w:tc>
        <w:tc>
          <w:tcPr>
            <w:tcW w:w="170" w:type="pct"/>
            <w:vMerge w:val="restar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 w:val="restar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 w:val="restar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100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2</w:t>
            </w:r>
          </w:p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  <w:tr w:rsidR="003E1EBB" w:rsidRPr="00AA7D81" w:rsidTr="003E1EBB">
        <w:trPr>
          <w:cantSplit/>
          <w:trHeight w:val="1134"/>
        </w:trPr>
        <w:tc>
          <w:tcPr>
            <w:tcW w:w="580" w:type="pct"/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:rsidR="003E1EBB" w:rsidRPr="00043E8B" w:rsidRDefault="003E1EBB" w:rsidP="00E87D37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Kumulatívna hodnota – plne 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 xml:space="preserve">realizované projekty 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(</w:t>
            </w:r>
            <w:r>
              <w:rPr>
                <w:rFonts w:eastAsiaTheme="minorHAnsi"/>
                <w:b/>
                <w:sz w:val="18"/>
                <w:szCs w:val="18"/>
                <w:lang w:eastAsia="de-DE"/>
              </w:rPr>
              <w:t>skutočné dosahovanie výstupov</w:t>
            </w:r>
            <w:r w:rsidRPr="00043E8B">
              <w:rPr>
                <w:rFonts w:eastAsiaTheme="minorHAnsi"/>
                <w:b/>
                <w:sz w:val="18"/>
                <w:szCs w:val="18"/>
                <w:lang w:eastAsia="de-DE"/>
              </w:rPr>
              <w:t>)</w:t>
            </w:r>
          </w:p>
          <w:p w:rsidR="003E1EBB" w:rsidRPr="00043E8B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rPr>
                <w:rFonts w:eastAsiaTheme="minorHAns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580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:rsidR="003E1EBB" w:rsidRPr="00EB4FE5" w:rsidRDefault="003E1EBB" w:rsidP="00E54B9B">
            <w:pPr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vMerge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b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vMerge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vMerge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70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7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26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233" w:type="pct"/>
            <w:shd w:val="clear" w:color="auto" w:fill="auto"/>
            <w:textDirection w:val="btLr"/>
            <w:vAlign w:val="center"/>
          </w:tcPr>
          <w:p w:rsidR="003E1EBB" w:rsidRPr="00EB4FE5" w:rsidRDefault="003E1EBB" w:rsidP="00E54B9B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Pr="00EB4FE5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</w:p>
        </w:tc>
        <w:tc>
          <w:tcPr>
            <w:tcW w:w="156" w:type="pct"/>
            <w:textDirection w:val="btLr"/>
          </w:tcPr>
          <w:p w:rsidR="003E1EBB" w:rsidRDefault="003E1EBB" w:rsidP="00087513">
            <w:pPr>
              <w:tabs>
                <w:tab w:val="left" w:pos="720"/>
              </w:tabs>
              <w:spacing w:after="200" w:line="276" w:lineRule="auto"/>
              <w:ind w:left="113" w:right="113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>
              <w:rPr>
                <w:rFonts w:eastAsiaTheme="minorHAnsi"/>
                <w:sz w:val="16"/>
                <w:szCs w:val="16"/>
                <w:lang w:eastAsia="de-DE"/>
              </w:rPr>
              <w:t>0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3E1EBB" w:rsidRPr="00EB4FE5" w:rsidRDefault="003E1EBB" w:rsidP="003E1EB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PO 2</w:t>
            </w:r>
          </w:p>
          <w:p w:rsidR="003E1EBB" w:rsidRPr="00EB4FE5" w:rsidRDefault="003E1EBB" w:rsidP="003E1EBB">
            <w:pPr>
              <w:tabs>
                <w:tab w:val="left" w:pos="720"/>
              </w:tabs>
              <w:spacing w:after="200" w:line="276" w:lineRule="auto"/>
              <w:contextualSpacing/>
              <w:jc w:val="center"/>
              <w:rPr>
                <w:rFonts w:eastAsiaTheme="minorHAnsi"/>
                <w:sz w:val="16"/>
                <w:szCs w:val="16"/>
                <w:lang w:eastAsia="de-DE"/>
              </w:rPr>
            </w:pPr>
            <w:r w:rsidRPr="00EB4FE5">
              <w:rPr>
                <w:rFonts w:eastAsiaTheme="minorHAnsi"/>
                <w:sz w:val="16"/>
                <w:szCs w:val="16"/>
                <w:lang w:eastAsia="de-DE"/>
              </w:rPr>
              <w:t>ŠC 1</w:t>
            </w:r>
          </w:p>
        </w:tc>
      </w:tr>
    </w:tbl>
    <w:p w:rsidR="00377373" w:rsidRPr="00A1107E" w:rsidRDefault="00A1107E" w:rsidP="00A1107E">
      <w:pPr>
        <w:spacing w:line="276" w:lineRule="auto"/>
        <w:rPr>
          <w:rFonts w:eastAsiaTheme="minorHAnsi"/>
          <w:b/>
          <w:sz w:val="16"/>
          <w:szCs w:val="16"/>
        </w:rPr>
        <w:sectPr w:rsidR="00377373" w:rsidRPr="00A1107E" w:rsidSect="0037737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A1107E">
        <w:rPr>
          <w:rFonts w:eastAsiaTheme="minorHAnsi"/>
          <w:b/>
          <w:sz w:val="16"/>
          <w:szCs w:val="16"/>
        </w:rPr>
        <w:t>Zdroj: ITMS</w:t>
      </w:r>
    </w:p>
    <w:p w:rsidR="00AD1D7A" w:rsidRPr="00CB0F5E" w:rsidRDefault="00AD1D7A" w:rsidP="00D40FDF">
      <w:pPr>
        <w:spacing w:line="276" w:lineRule="auto"/>
        <w:jc w:val="both"/>
        <w:rPr>
          <w:rFonts w:eastAsiaTheme="minorHAnsi"/>
          <w:b/>
        </w:rPr>
      </w:pPr>
    </w:p>
    <w:p w:rsidR="00D40FDF" w:rsidRDefault="00D40FDF" w:rsidP="00D40FDF">
      <w:pPr>
        <w:keepNext/>
        <w:rPr>
          <w:rFonts w:eastAsiaTheme="minorHAnsi"/>
          <w:i/>
        </w:rPr>
      </w:pPr>
      <w:r w:rsidRPr="009839E4">
        <w:rPr>
          <w:rFonts w:eastAsiaTheme="minorHAnsi"/>
          <w:b/>
        </w:rPr>
        <w:t xml:space="preserve">Tabuľka 3B </w:t>
      </w:r>
      <w:r w:rsidRPr="002345FD">
        <w:rPr>
          <w:rFonts w:eastAsiaTheme="minorHAnsi"/>
          <w:b/>
        </w:rPr>
        <w:t>Spoločné ukazovatele výstupov pre EFRR v</w:t>
      </w:r>
      <w:r w:rsidRPr="009839E4">
        <w:rPr>
          <w:rFonts w:eastAsiaTheme="minorHAnsi"/>
          <w:b/>
        </w:rPr>
        <w:t xml:space="preserve"> rámci cieľa Investovanie do rastu a zamestnanosti týkajúce sa </w:t>
      </w:r>
      <w:r>
        <w:rPr>
          <w:rFonts w:eastAsiaTheme="minorHAnsi"/>
          <w:b/>
        </w:rPr>
        <w:t xml:space="preserve">investícií do výroby </w:t>
      </w:r>
      <w:r w:rsidRPr="009839E4">
        <w:rPr>
          <w:rFonts w:eastAsiaTheme="minorHAnsi"/>
          <w:b/>
        </w:rPr>
        <w:t>– počet podnikov</w:t>
      </w:r>
      <w:r>
        <w:rPr>
          <w:rFonts w:eastAsiaTheme="minorHAnsi"/>
          <w:b/>
        </w:rPr>
        <w:t xml:space="preserve">, ktoré dostávajú podporu z OP, bez podpory z iných zdrojov pre tie isté podniky </w:t>
      </w:r>
    </w:p>
    <w:p w:rsidR="00D40FDF" w:rsidRDefault="00D40FDF" w:rsidP="00D40FDF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D40FDF" w:rsidRDefault="00D40FDF" w:rsidP="00D40FDF">
      <w:pPr>
        <w:jc w:val="both"/>
        <w:rPr>
          <w:rFonts w:eastAsiaTheme="minorHAnsi"/>
          <w:b/>
        </w:rPr>
      </w:pPr>
    </w:p>
    <w:p w:rsidR="00D40FDF" w:rsidRDefault="00D40FDF" w:rsidP="00D40FDF">
      <w:pPr>
        <w:keepNext/>
        <w:shd w:val="clear" w:color="auto" w:fill="FFFFFF" w:themeFill="background1"/>
        <w:jc w:val="both"/>
        <w:rPr>
          <w:rFonts w:eastAsiaTheme="minorHAnsi"/>
          <w:b/>
        </w:rPr>
      </w:pPr>
      <w:r w:rsidRPr="009839E4">
        <w:rPr>
          <w:rFonts w:eastAsiaTheme="minorHAnsi"/>
          <w:b/>
        </w:rPr>
        <w:t>Tabuľka 4A Spoločné ukazovatele výstupu pre ESF v rozdelení na prioritné osi, investičné priority a kategórie regiónov</w:t>
      </w:r>
    </w:p>
    <w:p w:rsidR="00D40FDF" w:rsidRDefault="00D40FDF" w:rsidP="00D40FDF">
      <w:pPr>
        <w:jc w:val="both"/>
        <w:rPr>
          <w:rFonts w:eastAsiaTheme="minorHAnsi"/>
          <w:b/>
        </w:rPr>
      </w:pPr>
      <w:r w:rsidRPr="003D2845">
        <w:rPr>
          <w:rFonts w:eastAsiaTheme="minorHAnsi"/>
        </w:rPr>
        <w:t>Požadované informácie nie sú pre OP TP relevantné.</w:t>
      </w:r>
    </w:p>
    <w:p w:rsidR="00D40FDF" w:rsidRDefault="00D40FDF" w:rsidP="00D40FDF">
      <w:pPr>
        <w:rPr>
          <w:rFonts w:eastAsiaTheme="minorHAnsi"/>
          <w:u w:val="single"/>
        </w:rPr>
      </w:pPr>
    </w:p>
    <w:p w:rsidR="00D40FDF" w:rsidRDefault="00D40FDF" w:rsidP="00D40FDF">
      <w:pPr>
        <w:tabs>
          <w:tab w:val="left" w:pos="4692"/>
        </w:tabs>
        <w:rPr>
          <w:rFonts w:eastAsiaTheme="minorHAnsi"/>
          <w:b/>
        </w:rPr>
      </w:pPr>
      <w:r w:rsidRPr="00CF458F">
        <w:rPr>
          <w:rFonts w:eastAsiaTheme="minorHAnsi"/>
          <w:b/>
        </w:rPr>
        <w:t>Tabuľka 4B Programovo špecifické ukazovatele výstupu pre ESF v rozdelení na prioritné osi, investičné priority a</w:t>
      </w:r>
      <w:r>
        <w:rPr>
          <w:rFonts w:eastAsiaTheme="minorHAnsi"/>
          <w:b/>
        </w:rPr>
        <w:t xml:space="preserve"> kategórie regiónov</w:t>
      </w:r>
    </w:p>
    <w:p w:rsidR="004A0B10" w:rsidRDefault="00D40FDF" w:rsidP="00087513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D40FDF" w:rsidRDefault="00D40FDF" w:rsidP="00D40FDF">
      <w:pPr>
        <w:pStyle w:val="MPCKO4"/>
        <w:rPr>
          <w:rFonts w:eastAsiaTheme="minorHAnsi"/>
        </w:rPr>
      </w:pPr>
      <w:bookmarkStart w:id="11" w:name="_Toc482173543"/>
      <w:r>
        <w:rPr>
          <w:rFonts w:eastAsiaTheme="minorHAnsi"/>
        </w:rPr>
        <w:t>I.</w:t>
      </w:r>
      <w:r w:rsidRPr="00CF458F">
        <w:rPr>
          <w:rFonts w:eastAsiaTheme="minorHAnsi"/>
        </w:rPr>
        <w:t xml:space="preserve">3.3. Čiastkové ciele a zámery </w:t>
      </w:r>
      <w:r>
        <w:rPr>
          <w:rFonts w:eastAsiaTheme="minorHAnsi"/>
        </w:rPr>
        <w:t>stanovené vo výkonnostnom rámci</w:t>
      </w:r>
      <w:bookmarkEnd w:id="11"/>
      <w:r>
        <w:rPr>
          <w:rFonts w:eastAsiaTheme="minorHAnsi"/>
        </w:rPr>
        <w:t xml:space="preserve"> </w:t>
      </w:r>
    </w:p>
    <w:p w:rsidR="00D40FDF" w:rsidRPr="00AB76C6" w:rsidRDefault="00D40FDF" w:rsidP="00D40FDF">
      <w:pPr>
        <w:rPr>
          <w:rFonts w:eastAsiaTheme="minorHAnsi"/>
        </w:rPr>
      </w:pPr>
    </w:p>
    <w:p w:rsidR="00D40FDF" w:rsidRDefault="00D40FDF" w:rsidP="00D40FDF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4A0B10" w:rsidRDefault="004A0B10" w:rsidP="00D40FDF">
      <w:pPr>
        <w:jc w:val="both"/>
        <w:rPr>
          <w:rFonts w:eastAsiaTheme="minorHAnsi"/>
        </w:rPr>
      </w:pPr>
    </w:p>
    <w:p w:rsidR="00D40FDF" w:rsidRDefault="00D40FDF" w:rsidP="00D40FDF">
      <w:pPr>
        <w:keepNext/>
        <w:rPr>
          <w:rFonts w:eastAsiaTheme="minorHAnsi"/>
          <w:b/>
        </w:rPr>
      </w:pPr>
      <w:r w:rsidRPr="00E02998">
        <w:rPr>
          <w:rFonts w:eastAsiaTheme="minorHAnsi"/>
          <w:b/>
        </w:rPr>
        <w:t>Tabuľka 5 Informácia o čiastkových cieľoch a zámeroch stanovených vo výkonnostnom rámci</w:t>
      </w:r>
    </w:p>
    <w:p w:rsidR="004A0B10" w:rsidRDefault="00D40FDF" w:rsidP="00087513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D40FDF" w:rsidRDefault="00D40FDF" w:rsidP="00D40FDF">
      <w:pPr>
        <w:pStyle w:val="MPCKO4"/>
        <w:rPr>
          <w:rFonts w:eastAsiaTheme="minorHAnsi"/>
        </w:rPr>
      </w:pPr>
      <w:bookmarkStart w:id="12" w:name="_Toc482173544"/>
      <w:r>
        <w:rPr>
          <w:rFonts w:eastAsiaTheme="minorHAnsi"/>
        </w:rPr>
        <w:t>I.</w:t>
      </w:r>
      <w:r w:rsidRPr="00AA7D81">
        <w:rPr>
          <w:rFonts w:eastAsiaTheme="minorHAnsi"/>
        </w:rPr>
        <w:t>3.4 Finančné údaje</w:t>
      </w:r>
      <w:bookmarkEnd w:id="12"/>
    </w:p>
    <w:p w:rsidR="00D40FDF" w:rsidRPr="005875EC" w:rsidRDefault="00D40FDF" w:rsidP="00D40FDF">
      <w:pPr>
        <w:rPr>
          <w:rFonts w:eastAsiaTheme="minorHAnsi"/>
        </w:rPr>
      </w:pPr>
    </w:p>
    <w:p w:rsidR="00D40FDF" w:rsidRDefault="00D40FDF" w:rsidP="00D40FDF">
      <w:pPr>
        <w:jc w:val="both"/>
        <w:rPr>
          <w:rFonts w:eastAsiaTheme="minorHAnsi"/>
        </w:rPr>
      </w:pPr>
      <w:r w:rsidRPr="003D2845">
        <w:rPr>
          <w:rFonts w:eastAsiaTheme="minorHAnsi"/>
        </w:rPr>
        <w:t xml:space="preserve">Požadované informácie </w:t>
      </w:r>
      <w:r>
        <w:rPr>
          <w:rFonts w:eastAsiaTheme="minorHAnsi"/>
        </w:rPr>
        <w:t>o využití</w:t>
      </w:r>
      <w:r w:rsidRPr="00BF22BD">
        <w:rPr>
          <w:rFonts w:eastAsiaTheme="minorHAnsi"/>
        </w:rPr>
        <w:t xml:space="preserve"> príspevku </w:t>
      </w:r>
      <w:r>
        <w:rPr>
          <w:rFonts w:eastAsiaTheme="minorHAnsi"/>
        </w:rPr>
        <w:t xml:space="preserve">pre cieľ 2 </w:t>
      </w:r>
      <w:r w:rsidRPr="00BF22BD">
        <w:rPr>
          <w:rFonts w:eastAsiaTheme="minorHAnsi"/>
        </w:rPr>
        <w:t>z tretích krajín, ktoré sa zúčastňujú programu (napr.</w:t>
      </w:r>
      <w:r>
        <w:rPr>
          <w:rFonts w:eastAsiaTheme="minorHAnsi"/>
        </w:rPr>
        <w:t xml:space="preserve"> IPA, ENI, Nórsko, Švajčiarsko)</w:t>
      </w:r>
      <w:r w:rsidRPr="00BF22BD">
        <w:rPr>
          <w:rFonts w:eastAsiaTheme="minorHAnsi"/>
        </w:rPr>
        <w:t xml:space="preserve"> </w:t>
      </w:r>
      <w:r w:rsidRPr="003D2845">
        <w:rPr>
          <w:rFonts w:eastAsiaTheme="minorHAnsi"/>
        </w:rPr>
        <w:t>nie sú pre OP TP relevantné.</w:t>
      </w:r>
    </w:p>
    <w:p w:rsidR="00D40FDF" w:rsidRDefault="00D40FDF" w:rsidP="00D40FDF">
      <w:pPr>
        <w:jc w:val="both"/>
        <w:rPr>
          <w:rFonts w:eastAsiaTheme="minorHAnsi"/>
        </w:rPr>
      </w:pPr>
    </w:p>
    <w:p w:rsidR="00D40FDF" w:rsidRDefault="00D40FDF" w:rsidP="006A6268">
      <w:pPr>
        <w:jc w:val="both"/>
      </w:pPr>
    </w:p>
    <w:p w:rsidR="00222275" w:rsidRPr="00417727" w:rsidRDefault="00222275" w:rsidP="006A6268">
      <w:pPr>
        <w:jc w:val="both"/>
      </w:pPr>
    </w:p>
    <w:p w:rsidR="006A6268" w:rsidRDefault="006A6268" w:rsidP="005F430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9160E" w:rsidRPr="00B27DDD" w:rsidRDefault="00E9160E" w:rsidP="005F430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  <w:sectPr w:rsidR="00E9160E" w:rsidRPr="00B27DDD" w:rsidSect="0037737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B58ED" w:rsidRDefault="007B58ED" w:rsidP="007B58ED">
      <w:pPr>
        <w:keepNext/>
        <w:spacing w:after="200" w:line="276" w:lineRule="auto"/>
        <w:jc w:val="both"/>
        <w:rPr>
          <w:rFonts w:eastAsiaTheme="minorHAnsi"/>
          <w:b/>
        </w:rPr>
      </w:pPr>
      <w:r w:rsidRPr="00CF458F">
        <w:rPr>
          <w:rFonts w:eastAsiaTheme="minorHAnsi"/>
          <w:b/>
        </w:rPr>
        <w:lastRenderedPageBreak/>
        <w:t xml:space="preserve">Tabuľka </w:t>
      </w:r>
      <w:r>
        <w:rPr>
          <w:rFonts w:eastAsiaTheme="minorHAnsi"/>
          <w:b/>
        </w:rPr>
        <w:t>6</w:t>
      </w:r>
      <w:r w:rsidRPr="00CF458F">
        <w:rPr>
          <w:rFonts w:eastAsiaTheme="minorHAnsi"/>
          <w:b/>
        </w:rPr>
        <w:t xml:space="preserve"> Finančné </w:t>
      </w:r>
      <w:r>
        <w:rPr>
          <w:rFonts w:eastAsiaTheme="minorHAnsi"/>
          <w:b/>
        </w:rPr>
        <w:t>informácie na úrovni prioritnej osi a programu</w:t>
      </w:r>
      <w:r w:rsidRPr="00CF458F">
        <w:rPr>
          <w:rFonts w:eastAsiaTheme="minorHAnsi"/>
          <w:b/>
        </w:rPr>
        <w:t xml:space="preserve"> 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50"/>
        <w:gridCol w:w="1007"/>
        <w:gridCol w:w="1261"/>
        <w:gridCol w:w="1574"/>
        <w:gridCol w:w="993"/>
        <w:gridCol w:w="1402"/>
        <w:gridCol w:w="1149"/>
        <w:gridCol w:w="1418"/>
        <w:gridCol w:w="1417"/>
        <w:gridCol w:w="1134"/>
        <w:gridCol w:w="1119"/>
      </w:tblGrid>
      <w:tr w:rsidR="007B58ED" w:rsidRPr="00CF458F" w:rsidTr="00A1107E">
        <w:trPr>
          <w:trHeight w:val="711"/>
          <w:jc w:val="center"/>
        </w:trPr>
        <w:tc>
          <w:tcPr>
            <w:tcW w:w="6962" w:type="dxa"/>
            <w:gridSpan w:val="6"/>
            <w:shd w:val="clear" w:color="auto" w:fill="B8CCE4" w:themeFill="accent1" w:themeFillTint="66"/>
            <w:vAlign w:val="center"/>
          </w:tcPr>
          <w:p w:rsidR="007B58ED" w:rsidRPr="00B464DD" w:rsidRDefault="007B58ED" w:rsidP="007E18FA">
            <w:pPr>
              <w:spacing w:after="200" w:line="276" w:lineRule="auto"/>
              <w:ind w:firstLine="90"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F458F">
              <w:rPr>
                <w:rFonts w:eastAsiaTheme="minorHAnsi"/>
                <w:b/>
                <w:sz w:val="20"/>
                <w:szCs w:val="20"/>
                <w:lang w:eastAsia="en-US"/>
              </w:rPr>
              <w:t>Finančná alokácia</w:t>
            </w:r>
          </w:p>
        </w:tc>
        <w:tc>
          <w:tcPr>
            <w:tcW w:w="7639" w:type="dxa"/>
            <w:gridSpan w:val="6"/>
            <w:shd w:val="clear" w:color="auto" w:fill="B8CCE4" w:themeFill="accent1" w:themeFillTint="66"/>
            <w:vAlign w:val="center"/>
          </w:tcPr>
          <w:p w:rsidR="007B58ED" w:rsidRPr="00B464DD" w:rsidRDefault="007B58ED" w:rsidP="007E18FA">
            <w:pPr>
              <w:spacing w:after="200" w:line="276" w:lineRule="auto"/>
              <w:jc w:val="center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CF458F">
              <w:rPr>
                <w:rFonts w:eastAsiaTheme="minorHAnsi"/>
                <w:b/>
                <w:sz w:val="20"/>
                <w:szCs w:val="20"/>
                <w:lang w:eastAsia="en-US"/>
              </w:rPr>
              <w:t>Finančný pokrok</w:t>
            </w:r>
          </w:p>
        </w:tc>
      </w:tr>
      <w:tr w:rsidR="007B58ED" w:rsidRPr="00CF458F" w:rsidTr="00A1107E">
        <w:trPr>
          <w:jc w:val="center"/>
        </w:trPr>
        <w:tc>
          <w:tcPr>
            <w:tcW w:w="1277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007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261" w:type="dxa"/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1574" w:type="dxa"/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402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7.</w:t>
            </w:r>
          </w:p>
        </w:tc>
        <w:tc>
          <w:tcPr>
            <w:tcW w:w="1149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8.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9.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10.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11.</w:t>
            </w:r>
          </w:p>
        </w:tc>
        <w:tc>
          <w:tcPr>
            <w:tcW w:w="1119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12.</w:t>
            </w:r>
          </w:p>
        </w:tc>
      </w:tr>
      <w:tr w:rsidR="007B58ED" w:rsidRPr="00CF458F" w:rsidTr="00A1107E">
        <w:trPr>
          <w:trHeight w:val="3154"/>
          <w:jc w:val="center"/>
        </w:trPr>
        <w:tc>
          <w:tcPr>
            <w:tcW w:w="1277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>Prioritná os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7B58ED" w:rsidRPr="00CF458F" w:rsidRDefault="007B58ED" w:rsidP="00800AB3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>Fond</w:t>
            </w:r>
          </w:p>
        </w:tc>
        <w:tc>
          <w:tcPr>
            <w:tcW w:w="1007" w:type="dxa"/>
            <w:shd w:val="clear" w:color="auto" w:fill="B8CCE4" w:themeFill="accent1" w:themeFillTint="66"/>
            <w:vAlign w:val="center"/>
          </w:tcPr>
          <w:p w:rsidR="007B58ED" w:rsidRPr="00CF458F" w:rsidRDefault="007B58ED" w:rsidP="00800AB3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>Kategória regiónu</w:t>
            </w:r>
          </w:p>
        </w:tc>
        <w:tc>
          <w:tcPr>
            <w:tcW w:w="1261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Základ </w:t>
            </w: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pre výpočet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podpory Únie</w:t>
            </w:r>
          </w:p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>(Celkové oprávnené výdavky alebo verejné oprávnené výdavky)</w:t>
            </w:r>
          </w:p>
        </w:tc>
        <w:tc>
          <w:tcPr>
            <w:tcW w:w="1574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Finančné prostriedky spolu</w:t>
            </w:r>
          </w:p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>(EUR)</w:t>
            </w:r>
          </w:p>
        </w:tc>
        <w:tc>
          <w:tcPr>
            <w:tcW w:w="993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>Miera spolufinancovania</w:t>
            </w:r>
          </w:p>
          <w:p w:rsidR="007B58ED" w:rsidRPr="00CF458F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en-US"/>
              </w:rPr>
              <w:t>(%)</w:t>
            </w:r>
          </w:p>
        </w:tc>
        <w:tc>
          <w:tcPr>
            <w:tcW w:w="1402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Celkové oprávnené </w:t>
            </w: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náklady 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>na vybrané projekty (EUR)</w:t>
            </w: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9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Podiel celkových </w:t>
            </w: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pridelených prostriedkov, na ktorý sa vzťahujú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 vybrané projekty </w:t>
            </w:r>
          </w:p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(%)</w:t>
            </w:r>
          </w:p>
          <w:p w:rsidR="007B58ED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(7/5*100)</w:t>
            </w:r>
          </w:p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V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erejné oprávnené </w:t>
            </w: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náklady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 na vybrané projekty (EUR)</w:t>
            </w: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>Celkové oprávnené výdavky deklar</w:t>
            </w: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ované prijímateľmi riadiacemu orgánu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 (EUR)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Podiel celkových </w:t>
            </w: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pridelených prostriedkov, na ktoré sa vzťahujú oprávnené výdavky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 </w:t>
            </w: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deklarované prijímateľmi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 xml:space="preserve"> (%)</w:t>
            </w: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(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>10/5</w:t>
            </w: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*100</w:t>
            </w: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>)</w:t>
            </w:r>
          </w:p>
          <w:p w:rsidR="007B58ED" w:rsidRPr="00CF458F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19" w:type="dxa"/>
            <w:shd w:val="clear" w:color="auto" w:fill="B8CCE4" w:themeFill="accent1" w:themeFillTint="66"/>
            <w:vAlign w:val="center"/>
          </w:tcPr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 w:rsidRPr="00CF458F">
              <w:rPr>
                <w:rFonts w:eastAsiaTheme="minorHAnsi"/>
                <w:b/>
                <w:sz w:val="18"/>
                <w:szCs w:val="18"/>
                <w:lang w:eastAsia="ko-KR"/>
              </w:rPr>
              <w:t>Počet vybraných projektov</w:t>
            </w:r>
          </w:p>
          <w:p w:rsidR="007B58ED" w:rsidRPr="00CF458F" w:rsidRDefault="007B58ED" w:rsidP="007E18FA">
            <w:pPr>
              <w:adjustRightInd w:val="0"/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</w:tc>
      </w:tr>
      <w:tr w:rsidR="00E87D37" w:rsidRPr="00CF458F" w:rsidTr="00A1107E">
        <w:trPr>
          <w:trHeight w:val="357"/>
          <w:jc w:val="center"/>
        </w:trPr>
        <w:tc>
          <w:tcPr>
            <w:tcW w:w="1277" w:type="dxa"/>
            <w:shd w:val="clear" w:color="auto" w:fill="auto"/>
          </w:tcPr>
          <w:p w:rsidR="00E87D37" w:rsidRPr="00800AB3" w:rsidRDefault="00255631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301010</w:t>
            </w:r>
          </w:p>
        </w:tc>
        <w:tc>
          <w:tcPr>
            <w:tcW w:w="850" w:type="dxa"/>
            <w:shd w:val="clear" w:color="auto" w:fill="auto"/>
          </w:tcPr>
          <w:p w:rsidR="00E87D37" w:rsidRPr="00800AB3" w:rsidRDefault="00E87D37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EFRR</w:t>
            </w:r>
          </w:p>
        </w:tc>
        <w:tc>
          <w:tcPr>
            <w:tcW w:w="1007" w:type="dxa"/>
            <w:shd w:val="clear" w:color="auto" w:fill="auto"/>
          </w:tcPr>
          <w:p w:rsidR="00E87D37" w:rsidRPr="00800AB3" w:rsidRDefault="00E87D37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Menej rozvinutý</w:t>
            </w:r>
          </w:p>
        </w:tc>
        <w:tc>
          <w:tcPr>
            <w:tcW w:w="1261" w:type="dxa"/>
            <w:shd w:val="clear" w:color="auto" w:fill="auto"/>
          </w:tcPr>
          <w:p w:rsidR="00E87D37" w:rsidRPr="00800AB3" w:rsidRDefault="00E87D37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COV</w:t>
            </w:r>
          </w:p>
        </w:tc>
        <w:tc>
          <w:tcPr>
            <w:tcW w:w="1574" w:type="dxa"/>
            <w:shd w:val="clear" w:color="auto" w:fill="auto"/>
          </w:tcPr>
          <w:p w:rsidR="00E87D37" w:rsidRPr="00800AB3" w:rsidRDefault="00073F44" w:rsidP="004A0ED8">
            <w:pPr>
              <w:spacing w:after="200" w:line="276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134 573 707,00</w:t>
            </w:r>
            <w:r w:rsidR="00E87D37" w:rsidRPr="00087513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E87D37" w:rsidRPr="00800AB3" w:rsidRDefault="00073F44" w:rsidP="004A0ED8">
            <w:pPr>
              <w:spacing w:after="200" w:line="276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85,00</w:t>
            </w:r>
          </w:p>
        </w:tc>
        <w:tc>
          <w:tcPr>
            <w:tcW w:w="1402" w:type="dxa"/>
          </w:tcPr>
          <w:p w:rsidR="00E87D37" w:rsidRPr="00800AB3" w:rsidRDefault="00E87D37" w:rsidP="004A0ED8">
            <w:pPr>
              <w:spacing w:after="200" w:line="276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087513">
              <w:rPr>
                <w:rFonts w:eastAsiaTheme="minorHAnsi"/>
                <w:sz w:val="18"/>
                <w:szCs w:val="18"/>
                <w:lang w:eastAsia="en-US"/>
              </w:rPr>
              <w:t>65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 </w:t>
            </w:r>
            <w:r w:rsidRPr="00087513">
              <w:rPr>
                <w:rFonts w:eastAsiaTheme="minorHAnsi"/>
                <w:sz w:val="18"/>
                <w:szCs w:val="18"/>
                <w:lang w:eastAsia="en-US"/>
              </w:rPr>
              <w:t>553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087513">
              <w:rPr>
                <w:rFonts w:eastAsiaTheme="minorHAnsi"/>
                <w:sz w:val="18"/>
                <w:szCs w:val="18"/>
                <w:lang w:eastAsia="en-US"/>
              </w:rPr>
              <w:t xml:space="preserve">847,00 </w:t>
            </w:r>
          </w:p>
        </w:tc>
        <w:tc>
          <w:tcPr>
            <w:tcW w:w="1149" w:type="dxa"/>
          </w:tcPr>
          <w:p w:rsidR="00E87D37" w:rsidRPr="00800AB3" w:rsidRDefault="00073F44" w:rsidP="004A0ED8">
            <w:pPr>
              <w:jc w:val="right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48,71</w:t>
            </w:r>
          </w:p>
        </w:tc>
        <w:tc>
          <w:tcPr>
            <w:tcW w:w="1418" w:type="dxa"/>
          </w:tcPr>
          <w:p w:rsidR="00E87D37" w:rsidRPr="00087513" w:rsidRDefault="00073F44" w:rsidP="004A0ED8">
            <w:pPr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53 793 487,00</w:t>
            </w:r>
          </w:p>
        </w:tc>
        <w:tc>
          <w:tcPr>
            <w:tcW w:w="1417" w:type="dxa"/>
          </w:tcPr>
          <w:p w:rsidR="00E87D37" w:rsidRPr="00087513" w:rsidRDefault="00E87D37" w:rsidP="004A0ED8">
            <w:pPr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11 138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 </w:t>
            </w: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571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E87D37" w:rsidRPr="00800AB3" w:rsidRDefault="00073F44" w:rsidP="004A0ED8">
            <w:pPr>
              <w:jc w:val="right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8,28</w:t>
            </w:r>
          </w:p>
        </w:tc>
        <w:tc>
          <w:tcPr>
            <w:tcW w:w="1119" w:type="dxa"/>
          </w:tcPr>
          <w:p w:rsidR="00E87D37" w:rsidRPr="00800AB3" w:rsidRDefault="00E87D37" w:rsidP="004A0ED8">
            <w:pPr>
              <w:jc w:val="right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28</w:t>
            </w:r>
          </w:p>
        </w:tc>
      </w:tr>
      <w:tr w:rsidR="00E87D37" w:rsidRPr="00CF458F" w:rsidTr="00A1107E">
        <w:trPr>
          <w:trHeight w:val="357"/>
          <w:jc w:val="center"/>
        </w:trPr>
        <w:tc>
          <w:tcPr>
            <w:tcW w:w="1277" w:type="dxa"/>
            <w:shd w:val="clear" w:color="auto" w:fill="auto"/>
          </w:tcPr>
          <w:p w:rsidR="00E87D37" w:rsidRPr="00800AB3" w:rsidRDefault="00255631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301020</w:t>
            </w:r>
          </w:p>
        </w:tc>
        <w:tc>
          <w:tcPr>
            <w:tcW w:w="850" w:type="dxa"/>
            <w:shd w:val="clear" w:color="auto" w:fill="auto"/>
          </w:tcPr>
          <w:p w:rsidR="00E87D37" w:rsidRPr="00800AB3" w:rsidRDefault="00E87D37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EFRR</w:t>
            </w:r>
          </w:p>
        </w:tc>
        <w:tc>
          <w:tcPr>
            <w:tcW w:w="1007" w:type="dxa"/>
            <w:shd w:val="clear" w:color="auto" w:fill="auto"/>
          </w:tcPr>
          <w:p w:rsidR="00E87D37" w:rsidRPr="00800AB3" w:rsidRDefault="00E87D37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Menej rozvinutý</w:t>
            </w:r>
          </w:p>
        </w:tc>
        <w:tc>
          <w:tcPr>
            <w:tcW w:w="1261" w:type="dxa"/>
            <w:shd w:val="clear" w:color="auto" w:fill="auto"/>
          </w:tcPr>
          <w:p w:rsidR="00E87D37" w:rsidRPr="00800AB3" w:rsidRDefault="00E87D37" w:rsidP="007E18FA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COV</w:t>
            </w:r>
          </w:p>
        </w:tc>
        <w:tc>
          <w:tcPr>
            <w:tcW w:w="1574" w:type="dxa"/>
            <w:shd w:val="clear" w:color="auto" w:fill="auto"/>
          </w:tcPr>
          <w:p w:rsidR="00E87D37" w:rsidRPr="00800AB3" w:rsidRDefault="00073F44" w:rsidP="004A0ED8">
            <w:pPr>
              <w:spacing w:after="200" w:line="276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52 569 720,00</w:t>
            </w:r>
          </w:p>
        </w:tc>
        <w:tc>
          <w:tcPr>
            <w:tcW w:w="993" w:type="dxa"/>
            <w:shd w:val="clear" w:color="auto" w:fill="auto"/>
          </w:tcPr>
          <w:p w:rsidR="00E87D37" w:rsidRPr="00800AB3" w:rsidRDefault="00E87D37" w:rsidP="004A0ED8">
            <w:pPr>
              <w:spacing w:after="200" w:line="276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="00073F44">
              <w:rPr>
                <w:rFonts w:eastAsiaTheme="minorHAns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1402" w:type="dxa"/>
          </w:tcPr>
          <w:p w:rsidR="00E87D37" w:rsidRPr="00087513" w:rsidRDefault="00E87D37" w:rsidP="004A0ED8">
            <w:pPr>
              <w:spacing w:after="200" w:line="276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E87D37">
              <w:rPr>
                <w:rFonts w:eastAsiaTheme="minorHAnsi"/>
                <w:sz w:val="18"/>
                <w:szCs w:val="18"/>
                <w:lang w:eastAsia="en-US"/>
              </w:rPr>
              <w:t>2 377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 </w:t>
            </w:r>
            <w:r w:rsidRPr="00E87D37">
              <w:rPr>
                <w:rFonts w:eastAsiaTheme="minorHAnsi"/>
                <w:sz w:val="18"/>
                <w:szCs w:val="18"/>
                <w:lang w:eastAsia="en-US"/>
              </w:rPr>
              <w:t>953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49" w:type="dxa"/>
          </w:tcPr>
          <w:p w:rsidR="00E87D37" w:rsidRPr="00800AB3" w:rsidRDefault="00B76E06" w:rsidP="004A0ED8">
            <w:pPr>
              <w:jc w:val="right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  <w:r w:rsidR="00E87D37">
              <w:rPr>
                <w:rFonts w:eastAsiaTheme="minorHAnsi"/>
                <w:sz w:val="18"/>
                <w:szCs w:val="18"/>
                <w:lang w:eastAsia="en-US"/>
              </w:rPr>
              <w:t>,</w:t>
            </w:r>
            <w:r w:rsidR="00073F44">
              <w:rPr>
                <w:rFonts w:eastAsiaTheme="minorHAnsi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418" w:type="dxa"/>
          </w:tcPr>
          <w:p w:rsidR="00E87D37" w:rsidRPr="00087513" w:rsidRDefault="00073F44" w:rsidP="004A0ED8">
            <w:pPr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1 951 348,00</w:t>
            </w:r>
          </w:p>
        </w:tc>
        <w:tc>
          <w:tcPr>
            <w:tcW w:w="1417" w:type="dxa"/>
          </w:tcPr>
          <w:p w:rsidR="00E87D37" w:rsidRPr="00087513" w:rsidRDefault="00E87D37" w:rsidP="004A0ED8">
            <w:pPr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442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 </w:t>
            </w: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162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E87D37" w:rsidRPr="00800AB3" w:rsidRDefault="00E87D37" w:rsidP="004A0ED8">
            <w:pPr>
              <w:jc w:val="right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0,</w:t>
            </w:r>
            <w:r w:rsidR="002447C5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="00073F44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19" w:type="dxa"/>
          </w:tcPr>
          <w:p w:rsidR="00E87D37" w:rsidRPr="00800AB3" w:rsidRDefault="00E87D37" w:rsidP="004A0ED8">
            <w:pPr>
              <w:jc w:val="right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E87D37" w:rsidRPr="00CF458F" w:rsidTr="00A1107E">
        <w:trPr>
          <w:trHeight w:val="543"/>
          <w:jc w:val="center"/>
        </w:trPr>
        <w:tc>
          <w:tcPr>
            <w:tcW w:w="1277" w:type="dxa"/>
            <w:shd w:val="clear" w:color="auto" w:fill="auto"/>
          </w:tcPr>
          <w:p w:rsidR="00E87D37" w:rsidRPr="00800AB3" w:rsidRDefault="00E87D37" w:rsidP="007E18FA">
            <w:pPr>
              <w:spacing w:after="200" w:line="276" w:lineRule="auto"/>
              <w:rPr>
                <w:rFonts w:eastAsiaTheme="minorHAnsi"/>
                <w:iCs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iCs/>
                <w:sz w:val="18"/>
                <w:szCs w:val="18"/>
                <w:lang w:eastAsia="en-US"/>
              </w:rPr>
              <w:t>Spolu</w:t>
            </w:r>
          </w:p>
        </w:tc>
        <w:tc>
          <w:tcPr>
            <w:tcW w:w="850" w:type="dxa"/>
            <w:shd w:val="clear" w:color="auto" w:fill="auto"/>
          </w:tcPr>
          <w:p w:rsidR="00E87D37" w:rsidRPr="00800AB3" w:rsidRDefault="00E87D37" w:rsidP="00F63175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EFRR</w:t>
            </w:r>
          </w:p>
        </w:tc>
        <w:tc>
          <w:tcPr>
            <w:tcW w:w="1007" w:type="dxa"/>
            <w:shd w:val="clear" w:color="auto" w:fill="auto"/>
          </w:tcPr>
          <w:p w:rsidR="00E87D37" w:rsidRPr="00800AB3" w:rsidRDefault="00E87D37" w:rsidP="00F63175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Menej rozvinutý</w:t>
            </w:r>
          </w:p>
        </w:tc>
        <w:tc>
          <w:tcPr>
            <w:tcW w:w="1261" w:type="dxa"/>
            <w:shd w:val="clear" w:color="auto" w:fill="auto"/>
          </w:tcPr>
          <w:p w:rsidR="00E87D37" w:rsidRPr="00800AB3" w:rsidRDefault="00E87D37" w:rsidP="00F63175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COV</w:t>
            </w:r>
          </w:p>
        </w:tc>
        <w:tc>
          <w:tcPr>
            <w:tcW w:w="1574" w:type="dxa"/>
            <w:shd w:val="clear" w:color="auto" w:fill="auto"/>
          </w:tcPr>
          <w:p w:rsidR="00E87D37" w:rsidRPr="00800AB3" w:rsidRDefault="00073F44" w:rsidP="004A0ED8">
            <w:pPr>
              <w:spacing w:after="200" w:line="276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187 143 427</w:t>
            </w:r>
            <w:r w:rsidR="00E87D37" w:rsidRPr="00087513">
              <w:rPr>
                <w:rFonts w:eastAsiaTheme="minorHAns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:rsidR="00E87D37" w:rsidRPr="00800AB3" w:rsidRDefault="00E87D37" w:rsidP="004A0ED8">
            <w:pPr>
              <w:spacing w:after="200" w:line="276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800AB3">
              <w:rPr>
                <w:rFonts w:eastAsiaTheme="minorHAnsi"/>
                <w:sz w:val="18"/>
                <w:szCs w:val="18"/>
                <w:lang w:eastAsia="en-US"/>
              </w:rPr>
              <w:t>8</w:t>
            </w:r>
            <w:r w:rsidR="00073F44">
              <w:rPr>
                <w:rFonts w:eastAsiaTheme="minorHAnsi"/>
                <w:sz w:val="18"/>
                <w:szCs w:val="18"/>
                <w:lang w:eastAsia="en-US"/>
              </w:rPr>
              <w:t>5,00</w:t>
            </w:r>
          </w:p>
        </w:tc>
        <w:tc>
          <w:tcPr>
            <w:tcW w:w="1402" w:type="dxa"/>
          </w:tcPr>
          <w:p w:rsidR="00E87D37" w:rsidRPr="00087513" w:rsidRDefault="00E87D37" w:rsidP="004A0ED8">
            <w:pPr>
              <w:spacing w:after="200" w:line="276" w:lineRule="auto"/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087513">
              <w:rPr>
                <w:rFonts w:eastAsiaTheme="minorHAnsi"/>
                <w:sz w:val="18"/>
                <w:szCs w:val="18"/>
                <w:lang w:eastAsia="en-US"/>
              </w:rPr>
              <w:t>6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  <w:r w:rsidRPr="00087513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93</w:t>
            </w:r>
            <w:r w:rsidRPr="00087513">
              <w:rPr>
                <w:rFonts w:eastAsiaTheme="minorHAnsi"/>
                <w:sz w:val="18"/>
                <w:szCs w:val="18"/>
                <w:lang w:eastAsia="en-US"/>
              </w:rPr>
              <w:t>1 800,00</w:t>
            </w:r>
          </w:p>
        </w:tc>
        <w:tc>
          <w:tcPr>
            <w:tcW w:w="1149" w:type="dxa"/>
          </w:tcPr>
          <w:p w:rsidR="00B76E06" w:rsidRPr="004A0ED8" w:rsidRDefault="00E87D37" w:rsidP="004A0ED8">
            <w:pPr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  <w:r w:rsidR="00073F44">
              <w:rPr>
                <w:rFonts w:eastAsiaTheme="minorHAnsi"/>
                <w:sz w:val="18"/>
                <w:szCs w:val="18"/>
                <w:lang w:eastAsia="en-US"/>
              </w:rPr>
              <w:t>6,30</w:t>
            </w:r>
          </w:p>
        </w:tc>
        <w:tc>
          <w:tcPr>
            <w:tcW w:w="1418" w:type="dxa"/>
          </w:tcPr>
          <w:p w:rsidR="00E87D37" w:rsidRPr="00087513" w:rsidRDefault="00073F44" w:rsidP="004A0ED8">
            <w:pPr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55 744 835,00</w:t>
            </w:r>
          </w:p>
        </w:tc>
        <w:tc>
          <w:tcPr>
            <w:tcW w:w="1417" w:type="dxa"/>
          </w:tcPr>
          <w:p w:rsidR="00E87D37" w:rsidRPr="00087513" w:rsidRDefault="00E87D37" w:rsidP="004A0ED8">
            <w:pPr>
              <w:jc w:val="right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11 580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 </w:t>
            </w: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733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1134" w:type="dxa"/>
          </w:tcPr>
          <w:p w:rsidR="00E87D37" w:rsidRPr="00800AB3" w:rsidRDefault="00073F44" w:rsidP="004A0ED8">
            <w:pPr>
              <w:jc w:val="right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6,19</w:t>
            </w:r>
          </w:p>
        </w:tc>
        <w:tc>
          <w:tcPr>
            <w:tcW w:w="1119" w:type="dxa"/>
          </w:tcPr>
          <w:p w:rsidR="00E87D37" w:rsidRPr="00800AB3" w:rsidRDefault="00E87D37" w:rsidP="004A0ED8">
            <w:pPr>
              <w:jc w:val="right"/>
              <w:rPr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</w:tr>
    </w:tbl>
    <w:p w:rsidR="007B58ED" w:rsidRDefault="00A1107E" w:rsidP="007B58ED">
      <w:pPr>
        <w:spacing w:after="200" w:line="276" w:lineRule="auto"/>
        <w:jc w:val="both"/>
        <w:rPr>
          <w:rFonts w:eastAsiaTheme="minorHAnsi"/>
          <w:b/>
          <w:sz w:val="16"/>
          <w:szCs w:val="16"/>
        </w:rPr>
      </w:pPr>
      <w:r w:rsidRPr="00A1107E">
        <w:rPr>
          <w:rFonts w:eastAsiaTheme="minorHAnsi"/>
          <w:b/>
          <w:sz w:val="16"/>
          <w:szCs w:val="16"/>
        </w:rPr>
        <w:t>Zdroj</w:t>
      </w:r>
      <w:r>
        <w:rPr>
          <w:rFonts w:eastAsiaTheme="minorHAnsi"/>
          <w:b/>
          <w:sz w:val="16"/>
          <w:szCs w:val="16"/>
        </w:rPr>
        <w:t>:</w:t>
      </w:r>
      <w:r w:rsidRPr="00A1107E">
        <w:rPr>
          <w:rFonts w:eastAsiaTheme="minorHAnsi"/>
          <w:b/>
          <w:sz w:val="16"/>
          <w:szCs w:val="16"/>
        </w:rPr>
        <w:t xml:space="preserve"> </w:t>
      </w:r>
      <w:r w:rsidR="00073F44">
        <w:rPr>
          <w:rFonts w:eastAsiaTheme="minorHAnsi"/>
          <w:b/>
          <w:sz w:val="16"/>
          <w:szCs w:val="16"/>
        </w:rPr>
        <w:t>SFC2014</w:t>
      </w:r>
    </w:p>
    <w:p w:rsidR="00E87D37" w:rsidRPr="00A1107E" w:rsidRDefault="00E87D37" w:rsidP="007B58ED">
      <w:pPr>
        <w:spacing w:after="200" w:line="276" w:lineRule="auto"/>
        <w:jc w:val="both"/>
        <w:rPr>
          <w:rFonts w:eastAsiaTheme="minorHAnsi"/>
          <w:b/>
          <w:sz w:val="16"/>
          <w:szCs w:val="16"/>
        </w:rPr>
      </w:pPr>
    </w:p>
    <w:p w:rsidR="007B58ED" w:rsidRDefault="007B58ED" w:rsidP="007B58ED">
      <w:pPr>
        <w:keepNext/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  <w:b/>
        </w:rPr>
        <w:lastRenderedPageBreak/>
        <w:t>Tabuľka 7</w:t>
      </w:r>
      <w:r w:rsidRPr="00EB51B6">
        <w:rPr>
          <w:rFonts w:eastAsiaTheme="minorHAnsi"/>
          <w:b/>
        </w:rPr>
        <w:t xml:space="preserve"> Rozdelenie </w:t>
      </w:r>
      <w:r>
        <w:rPr>
          <w:rFonts w:eastAsiaTheme="minorHAnsi"/>
          <w:b/>
        </w:rPr>
        <w:t xml:space="preserve">súhrnných finančných údajov podľa kategórie intervencie v rámci KF, EFRR a ESF </w:t>
      </w:r>
    </w:p>
    <w:tbl>
      <w:tblPr>
        <w:tblW w:w="14992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993"/>
        <w:gridCol w:w="903"/>
        <w:gridCol w:w="904"/>
        <w:gridCol w:w="903"/>
        <w:gridCol w:w="904"/>
        <w:gridCol w:w="904"/>
        <w:gridCol w:w="903"/>
        <w:gridCol w:w="776"/>
        <w:gridCol w:w="851"/>
        <w:gridCol w:w="1417"/>
        <w:gridCol w:w="1276"/>
        <w:gridCol w:w="1418"/>
        <w:gridCol w:w="1031"/>
      </w:tblGrid>
      <w:tr w:rsidR="007B58ED" w:rsidRPr="00EB51B6" w:rsidTr="004A0ED8">
        <w:trPr>
          <w:cantSplit/>
          <w:trHeight w:val="532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after="200" w:line="276" w:lineRule="auto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</w:p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F41510">
              <w:rPr>
                <w:rFonts w:eastAsiaTheme="minorHAnsi"/>
                <w:b/>
                <w:sz w:val="18"/>
                <w:szCs w:val="18"/>
                <w:lang w:eastAsia="ko-KR"/>
              </w:rPr>
              <w:t>1.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EB51B6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Charakteristika výdavku</w:t>
            </w:r>
          </w:p>
        </w:tc>
        <w:tc>
          <w:tcPr>
            <w:tcW w:w="7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 w:rsidRPr="00EB51B6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Dimenzie pre kategórie intervencií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Finančné údaje</w:t>
            </w:r>
          </w:p>
        </w:tc>
      </w:tr>
      <w:tr w:rsidR="00DC7849" w:rsidRPr="00EB51B6" w:rsidDel="00656531" w:rsidTr="00C775C3">
        <w:trPr>
          <w:cantSplit/>
          <w:trHeight w:val="593"/>
          <w:jc w:val="center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2.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3.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4.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5.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6.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7.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8.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9.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10.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36488A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14.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15.</w:t>
            </w:r>
          </w:p>
        </w:tc>
      </w:tr>
      <w:tr w:rsidR="00DC7849" w:rsidRPr="00EB51B6" w:rsidDel="00656531" w:rsidTr="00C775C3">
        <w:trPr>
          <w:cantSplit/>
          <w:trHeight w:val="1831"/>
          <w:jc w:val="center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B51B6"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Prioritná os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E56FA8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Fond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Kategória regiónu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1  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Oblasť intervencie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2  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Forma financovania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3   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Typ územia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textDirection w:val="btLr"/>
            <w:vAlign w:val="center"/>
          </w:tcPr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4  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Územné mechanizmy realizácie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7B58ED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5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 Tematický cieľ </w:t>
            </w:r>
          </w:p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EFRR/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KF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6  Sekundárny tematický okruh                                   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ESF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7  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Hospodárska činnosť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:rsidR="007B58ED" w:rsidRPr="00EB51B6" w:rsidRDefault="007B58ED" w:rsidP="007E18FA">
            <w:pPr>
              <w:spacing w:after="200" w:line="276" w:lineRule="auto"/>
              <w:ind w:left="113" w:right="113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8  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>Umiestnenie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 w:rsidRPr="00EB51B6">
              <w:rPr>
                <w:rFonts w:eastAsiaTheme="minorHAnsi"/>
                <w:b/>
                <w:sz w:val="18"/>
                <w:szCs w:val="18"/>
                <w:lang w:eastAsia="ko-KR"/>
              </w:rPr>
              <w:t>Celkové oprávnené výdavky na vybrané projekty (EUR)</w:t>
            </w:r>
          </w:p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  <w:r>
              <w:rPr>
                <w:rFonts w:eastAsiaTheme="minorHAnsi"/>
                <w:b/>
                <w:sz w:val="18"/>
                <w:szCs w:val="18"/>
                <w:lang w:eastAsia="ko-KR"/>
              </w:rPr>
              <w:t>V</w:t>
            </w:r>
            <w:r w:rsidRPr="00EB51B6">
              <w:rPr>
                <w:rFonts w:eastAsiaTheme="minorHAnsi"/>
                <w:b/>
                <w:sz w:val="18"/>
                <w:szCs w:val="18"/>
                <w:lang w:eastAsia="ko-KR"/>
              </w:rPr>
              <w:t>erejné oprávnené výdavky na vybrané projekty (EUR)</w:t>
            </w:r>
          </w:p>
          <w:p w:rsidR="007B58ED" w:rsidRPr="00EB51B6" w:rsidRDefault="007B58ED" w:rsidP="007E18FA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ko-KR"/>
              </w:rPr>
            </w:pPr>
          </w:p>
          <w:p w:rsidR="007B58ED" w:rsidRPr="00EB51B6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Del="00656531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Celkové oprávnené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výdavky deklarované prijímateľmi</w:t>
            </w:r>
            <w:r w:rsidRPr="00EB51B6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riadiacemu orgánu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B8CCE4" w:themeFill="accent1" w:themeFillTint="66"/>
            <w:vAlign w:val="center"/>
          </w:tcPr>
          <w:p w:rsidR="007B58ED" w:rsidRPr="00EB51B6" w:rsidDel="00656531" w:rsidRDefault="007B58ED" w:rsidP="007E18FA">
            <w:pPr>
              <w:spacing w:after="200" w:line="276" w:lineRule="auto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EB51B6">
              <w:rPr>
                <w:rFonts w:eastAsiaTheme="minorHAnsi"/>
                <w:b/>
                <w:sz w:val="18"/>
                <w:szCs w:val="18"/>
                <w:lang w:eastAsia="ko-KR"/>
              </w:rPr>
              <w:t>Počet vybraných projektov</w:t>
            </w:r>
          </w:p>
        </w:tc>
      </w:tr>
      <w:tr w:rsidR="00B60100" w:rsidRPr="00B60100" w:rsidTr="004A0ED8">
        <w:trPr>
          <w:cantSplit/>
          <w:trHeight w:val="444"/>
          <w:jc w:val="center"/>
        </w:trPr>
        <w:tc>
          <w:tcPr>
            <w:tcW w:w="11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4A0ED8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301010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ERDF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255631" w:rsidP="004A0ED8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Menej rozvinutý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255631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SK0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53 737 753,00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44 097 200,00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9 222 238,00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23</w:t>
            </w:r>
          </w:p>
        </w:tc>
      </w:tr>
      <w:tr w:rsidR="00B60100" w:rsidRPr="00B60100" w:rsidTr="004A0ED8">
        <w:trPr>
          <w:cantSplit/>
          <w:trHeight w:val="444"/>
          <w:jc w:val="center"/>
        </w:trPr>
        <w:tc>
          <w:tcPr>
            <w:tcW w:w="11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4A0ED8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301010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ERDF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255631" w:rsidP="004A0E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Menej rozvinutý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073F44" w:rsidP="00073F44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12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255631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SK0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6 899 994,00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5 662 135,00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564 476,37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</w:tr>
      <w:tr w:rsidR="00B60100" w:rsidRPr="00B60100" w:rsidTr="004A0ED8">
        <w:trPr>
          <w:cantSplit/>
          <w:trHeight w:val="444"/>
          <w:jc w:val="center"/>
        </w:trPr>
        <w:tc>
          <w:tcPr>
            <w:tcW w:w="11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4A0ED8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301010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ERDF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255631" w:rsidP="004A0E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Menej rozvinutý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073F44" w:rsidP="00073F44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12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255631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SK0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4 916 100,00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4 034 152,00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1 351 855,73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B60100" w:rsidRPr="00B60100" w:rsidTr="004A0ED8">
        <w:trPr>
          <w:cantSplit/>
          <w:trHeight w:val="444"/>
          <w:jc w:val="center"/>
        </w:trPr>
        <w:tc>
          <w:tcPr>
            <w:tcW w:w="11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4A0ED8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3010</w:t>
            </w:r>
            <w:r w:rsidR="00073F44">
              <w:rPr>
                <w:rFonts w:eastAsiaTheme="minorHAnsi"/>
                <w:sz w:val="18"/>
                <w:szCs w:val="18"/>
                <w:lang w:eastAsia="en-US"/>
              </w:rPr>
              <w:t>2</w:t>
            </w: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ERDF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255631" w:rsidP="004A0ED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Menej rozvinutý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121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60100">
              <w:rPr>
                <w:rFonts w:eastAsiaTheme="minorHAnsi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255631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SK0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2 377 953,00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1 951 348,00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442 162,00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</w:tr>
      <w:tr w:rsidR="00B60100" w:rsidRPr="00B60100" w:rsidTr="004A0ED8">
        <w:trPr>
          <w:cantSplit/>
          <w:trHeight w:val="444"/>
          <w:jc w:val="center"/>
        </w:trPr>
        <w:tc>
          <w:tcPr>
            <w:tcW w:w="110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C775C3" w:rsidP="004A0ED8">
            <w:pPr>
              <w:spacing w:after="200" w:line="276" w:lineRule="auto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Celkový súčet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7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100" w:rsidRPr="00B60100" w:rsidRDefault="00B60100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67 931 800,00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55 744 834,00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11 580 733,00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60100" w:rsidRPr="00B60100" w:rsidRDefault="00C775C3" w:rsidP="00B60100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31</w:t>
            </w:r>
          </w:p>
        </w:tc>
      </w:tr>
    </w:tbl>
    <w:p w:rsidR="00856DCB" w:rsidRPr="00A1107E" w:rsidRDefault="00A1107E" w:rsidP="00FC12B4">
      <w:pPr>
        <w:rPr>
          <w:rFonts w:eastAsiaTheme="minorHAnsi"/>
          <w:b/>
          <w:sz w:val="18"/>
          <w:szCs w:val="18"/>
        </w:rPr>
      </w:pPr>
      <w:r w:rsidRPr="00A1107E">
        <w:rPr>
          <w:rFonts w:eastAsiaTheme="minorHAnsi"/>
          <w:b/>
          <w:sz w:val="18"/>
          <w:szCs w:val="18"/>
        </w:rPr>
        <w:t>Zdroj</w:t>
      </w:r>
      <w:r>
        <w:rPr>
          <w:rFonts w:eastAsiaTheme="minorHAnsi"/>
          <w:b/>
          <w:sz w:val="18"/>
          <w:szCs w:val="18"/>
        </w:rPr>
        <w:t>:</w:t>
      </w:r>
      <w:r w:rsidRPr="00A1107E">
        <w:rPr>
          <w:rFonts w:eastAsiaTheme="minorHAnsi"/>
          <w:b/>
          <w:sz w:val="18"/>
          <w:szCs w:val="18"/>
        </w:rPr>
        <w:t xml:space="preserve"> </w:t>
      </w:r>
      <w:r w:rsidR="00073F44">
        <w:rPr>
          <w:rFonts w:eastAsiaTheme="minorHAnsi"/>
          <w:b/>
          <w:sz w:val="18"/>
          <w:szCs w:val="18"/>
        </w:rPr>
        <w:t>SFC2014</w:t>
      </w:r>
    </w:p>
    <w:p w:rsidR="00FC12B4" w:rsidRDefault="00FC12B4" w:rsidP="00FC12B4">
      <w:pPr>
        <w:keepNext/>
        <w:rPr>
          <w:rFonts w:eastAsiaTheme="minorHAnsi"/>
          <w:b/>
        </w:rPr>
      </w:pPr>
    </w:p>
    <w:p w:rsidR="00181B29" w:rsidRDefault="00181B29" w:rsidP="00EA0387">
      <w:pPr>
        <w:spacing w:after="120"/>
        <w:rPr>
          <w:rFonts w:eastAsiaTheme="minorHAnsi"/>
          <w:b/>
          <w:lang w:eastAsia="en-US"/>
        </w:rPr>
      </w:pPr>
    </w:p>
    <w:p w:rsidR="000A7F22" w:rsidRPr="00EA0387" w:rsidRDefault="000A7F22" w:rsidP="00EA0387">
      <w:pPr>
        <w:spacing w:after="120"/>
        <w:rPr>
          <w:rFonts w:eastAsiaTheme="minorHAnsi"/>
          <w:b/>
          <w:lang w:eastAsia="en-US"/>
        </w:rPr>
        <w:sectPr w:rsidR="000A7F22" w:rsidRPr="00EA0387" w:rsidSect="00377373">
          <w:headerReference w:type="default" r:id="rId15"/>
          <w:footerReference w:type="default" r:id="rId16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034B83" w:rsidRDefault="00034B83" w:rsidP="00034B83">
      <w:pPr>
        <w:keepNext/>
        <w:rPr>
          <w:rFonts w:eastAsiaTheme="minorHAnsi"/>
          <w:b/>
        </w:rPr>
      </w:pPr>
      <w:r w:rsidRPr="00E35A11">
        <w:rPr>
          <w:rFonts w:eastAsiaTheme="minorHAnsi"/>
          <w:b/>
        </w:rPr>
        <w:lastRenderedPageBreak/>
        <w:t xml:space="preserve">Tabuľka 8 Použitie krížového financovania </w:t>
      </w:r>
      <w:r>
        <w:rPr>
          <w:rFonts w:eastAsiaTheme="minorHAnsi"/>
          <w:b/>
        </w:rPr>
        <w:t>(EFRR</w:t>
      </w:r>
      <w:r w:rsidRPr="00E35A11">
        <w:rPr>
          <w:rFonts w:eastAsiaTheme="minorHAnsi"/>
          <w:b/>
        </w:rPr>
        <w:t xml:space="preserve"> a ESF v rámci cieľa </w:t>
      </w:r>
      <w:r>
        <w:rPr>
          <w:rFonts w:eastAsiaTheme="minorHAnsi"/>
          <w:b/>
        </w:rPr>
        <w:t>1</w:t>
      </w:r>
      <w:r w:rsidRPr="00E35A11">
        <w:rPr>
          <w:rFonts w:eastAsiaTheme="minorHAnsi"/>
          <w:b/>
        </w:rPr>
        <w:t>)</w:t>
      </w:r>
    </w:p>
    <w:p w:rsidR="00034B83" w:rsidRDefault="00034B83" w:rsidP="00034B83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034B83" w:rsidRDefault="00034B83" w:rsidP="00034B83">
      <w:pPr>
        <w:jc w:val="both"/>
        <w:rPr>
          <w:rFonts w:eastAsiaTheme="minorHAnsi"/>
          <w:b/>
        </w:rPr>
      </w:pPr>
    </w:p>
    <w:p w:rsidR="00034B83" w:rsidRDefault="00034B83" w:rsidP="00034B83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Tabuľka 9</w:t>
      </w:r>
      <w:r w:rsidRPr="004439FA">
        <w:rPr>
          <w:rFonts w:eastAsiaTheme="minorHAnsi"/>
          <w:b/>
          <w:lang w:eastAsia="en-US"/>
        </w:rPr>
        <w:t xml:space="preserve"> Výdavky na </w:t>
      </w:r>
      <w:r>
        <w:rPr>
          <w:rFonts w:eastAsiaTheme="minorHAnsi"/>
          <w:b/>
          <w:lang w:eastAsia="en-US"/>
        </w:rPr>
        <w:t>projekty</w:t>
      </w:r>
      <w:r w:rsidRPr="004439FA">
        <w:rPr>
          <w:rFonts w:eastAsiaTheme="minorHAnsi"/>
          <w:b/>
          <w:lang w:eastAsia="en-US"/>
        </w:rPr>
        <w:t xml:space="preserve"> realizované mi</w:t>
      </w:r>
      <w:r>
        <w:rPr>
          <w:rFonts w:eastAsiaTheme="minorHAnsi"/>
          <w:b/>
          <w:lang w:eastAsia="en-US"/>
        </w:rPr>
        <w:t>mo oblasti programu (EFRR</w:t>
      </w:r>
      <w:r w:rsidRPr="004439FA">
        <w:rPr>
          <w:rFonts w:eastAsiaTheme="minorHAnsi"/>
          <w:b/>
          <w:lang w:eastAsia="en-US"/>
        </w:rPr>
        <w:t xml:space="preserve"> a KF)</w:t>
      </w:r>
      <w:r>
        <w:rPr>
          <w:rFonts w:eastAsiaTheme="minorHAnsi"/>
          <w:b/>
          <w:lang w:eastAsia="en-US"/>
        </w:rPr>
        <w:t xml:space="preserve"> </w:t>
      </w:r>
    </w:p>
    <w:p w:rsidR="00034B83" w:rsidRDefault="00034B83" w:rsidP="00034B83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034B83" w:rsidRDefault="00034B83" w:rsidP="00034B83">
      <w:pPr>
        <w:jc w:val="both"/>
        <w:rPr>
          <w:rFonts w:eastAsiaTheme="minorHAnsi"/>
          <w:b/>
          <w:lang w:eastAsia="en-US"/>
        </w:rPr>
      </w:pPr>
    </w:p>
    <w:p w:rsidR="00034B83" w:rsidRDefault="00034B83" w:rsidP="00034B83">
      <w:pPr>
        <w:rPr>
          <w:rFonts w:eastAsiaTheme="minorHAnsi"/>
          <w:b/>
          <w:lang w:eastAsia="en-US"/>
        </w:rPr>
      </w:pPr>
      <w:r w:rsidRPr="004439FA">
        <w:rPr>
          <w:rFonts w:eastAsiaTheme="minorHAnsi"/>
          <w:b/>
          <w:lang w:eastAsia="en-US"/>
        </w:rPr>
        <w:t>Tabuľka 10 Výdavky realizované mimo Únie (ESF)</w:t>
      </w:r>
    </w:p>
    <w:p w:rsidR="00034B83" w:rsidRDefault="00034B83" w:rsidP="00034B83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034B83" w:rsidRDefault="00034B83" w:rsidP="00034B83">
      <w:pPr>
        <w:jc w:val="both"/>
        <w:rPr>
          <w:rFonts w:eastAsiaTheme="minorHAnsi"/>
          <w:b/>
          <w:lang w:eastAsia="en-US"/>
        </w:rPr>
      </w:pPr>
    </w:p>
    <w:p w:rsidR="00034B83" w:rsidRDefault="00034B83" w:rsidP="00034B83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Tabuľka 11</w:t>
      </w:r>
      <w:r w:rsidRPr="00AA483F">
        <w:rPr>
          <w:rFonts w:eastAsiaTheme="minorHAnsi"/>
          <w:b/>
          <w:lang w:eastAsia="en-US"/>
        </w:rPr>
        <w:t xml:space="preserve">: Alokácia zdrojov IZM </w:t>
      </w:r>
      <w:r>
        <w:rPr>
          <w:rFonts w:eastAsiaTheme="minorHAnsi"/>
          <w:b/>
          <w:lang w:eastAsia="en-US"/>
        </w:rPr>
        <w:t xml:space="preserve">pridelená </w:t>
      </w:r>
      <w:r w:rsidRPr="00AA483F">
        <w:rPr>
          <w:rFonts w:eastAsiaTheme="minorHAnsi"/>
          <w:b/>
          <w:lang w:eastAsia="en-US"/>
        </w:rPr>
        <w:t xml:space="preserve">pre mladých ľudí mimo oprávnených regiónov úrovne NUTS 2 </w:t>
      </w:r>
      <w:r w:rsidRPr="00AA483F">
        <w:rPr>
          <w:rFonts w:eastAsiaTheme="minorHAnsi"/>
          <w:lang w:eastAsia="en-US"/>
        </w:rPr>
        <w:t>(</w:t>
      </w:r>
      <w:r w:rsidRPr="00AA483F">
        <w:rPr>
          <w:rFonts w:eastAsiaTheme="minorHAnsi"/>
          <w:b/>
          <w:lang w:eastAsia="en-US"/>
        </w:rPr>
        <w:t>článok 16 nariadenia EP a Rady (EÚ) č. 1304/2013)</w:t>
      </w:r>
    </w:p>
    <w:p w:rsidR="00034B83" w:rsidRDefault="00034B83" w:rsidP="00A1107E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A1107E" w:rsidRDefault="00A1107E" w:rsidP="007B58ED">
      <w:pPr>
        <w:pStyle w:val="MPCKO3"/>
        <w:rPr>
          <w:rFonts w:eastAsiaTheme="minorHAnsi"/>
          <w:lang w:eastAsia="en-US"/>
        </w:rPr>
      </w:pPr>
      <w:bookmarkStart w:id="13" w:name="_Toc482173545"/>
    </w:p>
    <w:p w:rsidR="007B58ED" w:rsidRDefault="007B58ED" w:rsidP="007B58ED">
      <w:pPr>
        <w:pStyle w:val="MPCKO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I.</w:t>
      </w:r>
      <w:r w:rsidRPr="00AA7D81">
        <w:rPr>
          <w:rFonts w:eastAsiaTheme="minorHAnsi"/>
          <w:lang w:eastAsia="en-US"/>
        </w:rPr>
        <w:t>4. Zhrnutie hodnotení</w:t>
      </w:r>
      <w:bookmarkEnd w:id="13"/>
      <w:r w:rsidRPr="00AA7D81">
        <w:rPr>
          <w:rFonts w:eastAsiaTheme="minorHAnsi"/>
          <w:lang w:eastAsia="en-US"/>
        </w:rPr>
        <w:t xml:space="preserve"> </w:t>
      </w:r>
    </w:p>
    <w:p w:rsidR="00D94877" w:rsidRDefault="00D94877" w:rsidP="009221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B091A" w:rsidRPr="009221A3" w:rsidRDefault="00BB091A" w:rsidP="009221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Hodnotenie tvorí dôležitú súčasť riadenia európskych štrukturálnych a investičných fondo</w:t>
      </w:r>
      <w:r w:rsidR="00103239" w:rsidRPr="009221A3">
        <w:rPr>
          <w:rFonts w:eastAsiaTheme="minorHAnsi"/>
          <w:lang w:eastAsia="en-US"/>
        </w:rPr>
        <w:t>v</w:t>
      </w:r>
      <w:r w:rsidRPr="009221A3">
        <w:rPr>
          <w:rFonts w:eastAsiaTheme="minorHAnsi"/>
          <w:lang w:eastAsia="en-US"/>
        </w:rPr>
        <w:t>. Jeho úlohou je predovšetkým poskytnúť spätnú väzbu o</w:t>
      </w:r>
      <w:r w:rsidR="00103239" w:rsidRPr="009221A3">
        <w:rPr>
          <w:rFonts w:eastAsiaTheme="minorHAnsi"/>
          <w:lang w:eastAsia="en-US"/>
        </w:rPr>
        <w:t> </w:t>
      </w:r>
      <w:r w:rsidRPr="009221A3">
        <w:rPr>
          <w:rFonts w:eastAsiaTheme="minorHAnsi"/>
          <w:lang w:eastAsia="en-US"/>
        </w:rPr>
        <w:t>tom</w:t>
      </w:r>
      <w:r w:rsidR="00103239" w:rsidRPr="009221A3">
        <w:rPr>
          <w:rFonts w:eastAsiaTheme="minorHAnsi"/>
          <w:lang w:eastAsia="en-US"/>
        </w:rPr>
        <w:t>,</w:t>
      </w:r>
      <w:r w:rsidRPr="009221A3">
        <w:rPr>
          <w:rFonts w:eastAsiaTheme="minorHAnsi"/>
          <w:lang w:eastAsia="en-US"/>
        </w:rPr>
        <w:t xml:space="preserve"> ako prebieha</w:t>
      </w:r>
      <w:r w:rsidR="00103239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>implementácia</w:t>
      </w:r>
      <w:r w:rsidR="00103239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>finančnej pomoci a podpory z prostriedkov EÚ, aký je vplyv a dopad implementácie</w:t>
      </w:r>
      <w:r w:rsidR="000C7ADC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 xml:space="preserve">EŠIF </w:t>
      </w:r>
      <w:r w:rsidR="000C7ADC" w:rsidRPr="009221A3">
        <w:rPr>
          <w:rFonts w:eastAsiaTheme="minorHAnsi"/>
          <w:lang w:eastAsia="en-US"/>
        </w:rPr>
        <w:br/>
      </w:r>
      <w:r w:rsidRPr="009221A3">
        <w:rPr>
          <w:rFonts w:eastAsiaTheme="minorHAnsi"/>
          <w:lang w:eastAsia="en-US"/>
        </w:rPr>
        <w:t>a čo je potrebné prípadne zmeniť.</w:t>
      </w:r>
    </w:p>
    <w:p w:rsidR="00AA5CDF" w:rsidRDefault="00AA5CDF" w:rsidP="009221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B091A" w:rsidRPr="009221A3" w:rsidRDefault="00BB091A" w:rsidP="009221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Hodnotenie je neoddeliteľnou súčasťou programového cyklu a slúži ako nástroj riadenia</w:t>
      </w:r>
      <w:r w:rsidR="000C7ADC" w:rsidRPr="009221A3">
        <w:rPr>
          <w:rFonts w:eastAsiaTheme="minorHAnsi"/>
          <w:lang w:eastAsia="en-US"/>
        </w:rPr>
        <w:t xml:space="preserve"> </w:t>
      </w:r>
      <w:r w:rsidR="00103239" w:rsidRPr="009221A3">
        <w:rPr>
          <w:rFonts w:eastAsiaTheme="minorHAnsi"/>
          <w:lang w:eastAsia="en-US"/>
        </w:rPr>
        <w:t>EŠIF</w:t>
      </w:r>
      <w:r w:rsidRPr="009221A3">
        <w:rPr>
          <w:rFonts w:eastAsiaTheme="minorHAnsi"/>
          <w:lang w:eastAsia="en-US"/>
        </w:rPr>
        <w:t xml:space="preserve"> a prostriedok na zvýšenie kvality, účinnosti a</w:t>
      </w:r>
      <w:r w:rsidR="00103239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>efektívnosti operačných programov a slúži aj na posúdenie ich vplyvu a dopadov na dosahovanie</w:t>
      </w:r>
      <w:r w:rsidR="00103239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>cieľov stra</w:t>
      </w:r>
      <w:r w:rsidR="00103239" w:rsidRPr="009221A3">
        <w:rPr>
          <w:rFonts w:eastAsiaTheme="minorHAnsi"/>
          <w:lang w:eastAsia="en-US"/>
        </w:rPr>
        <w:t>tégie Európa 2020.</w:t>
      </w:r>
    </w:p>
    <w:p w:rsidR="00AA5CDF" w:rsidRDefault="00AA5CDF" w:rsidP="009221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C7ADC" w:rsidRPr="009221A3" w:rsidRDefault="00BB091A" w:rsidP="009221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Úrad vlády Slovenskej republiky ako riadiaci orgán pre operačný program Technická pomoc</w:t>
      </w:r>
      <w:r w:rsidR="000C7ADC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>vykonáva hodnotenie v zmysle čl. 54 až 57 Nariadenia EP a Rady (EÚ) č.</w:t>
      </w:r>
      <w:r w:rsidR="00103239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 xml:space="preserve">1303/2013 zo </w:t>
      </w:r>
      <w:r w:rsidR="000C7ADC" w:rsidRPr="009221A3">
        <w:rPr>
          <w:rFonts w:eastAsiaTheme="minorHAnsi"/>
          <w:lang w:eastAsia="en-US"/>
        </w:rPr>
        <w:br/>
      </w:r>
      <w:r w:rsidRPr="009221A3">
        <w:rPr>
          <w:rFonts w:eastAsiaTheme="minorHAnsi"/>
          <w:lang w:eastAsia="en-US"/>
        </w:rPr>
        <w:t xml:space="preserve">17. decembra 2013, ktorým sa stanovujú spoločné ustanovenia o </w:t>
      </w:r>
      <w:r w:rsidR="00103239" w:rsidRPr="009221A3">
        <w:rPr>
          <w:rFonts w:eastAsiaTheme="minorHAnsi"/>
          <w:lang w:eastAsia="en-US"/>
        </w:rPr>
        <w:t>EFRR</w:t>
      </w:r>
      <w:r w:rsidRPr="009221A3">
        <w:rPr>
          <w:rFonts w:eastAsiaTheme="minorHAnsi"/>
          <w:lang w:eastAsia="en-US"/>
        </w:rPr>
        <w:t xml:space="preserve">, </w:t>
      </w:r>
      <w:r w:rsidR="00103239" w:rsidRPr="009221A3">
        <w:rPr>
          <w:rFonts w:eastAsiaTheme="minorHAnsi"/>
          <w:lang w:eastAsia="en-US"/>
        </w:rPr>
        <w:t>ESF,</w:t>
      </w:r>
      <w:r w:rsidRPr="009221A3">
        <w:rPr>
          <w:rFonts w:eastAsiaTheme="minorHAnsi"/>
          <w:lang w:eastAsia="en-US"/>
        </w:rPr>
        <w:t xml:space="preserve"> </w:t>
      </w:r>
      <w:r w:rsidR="00103239" w:rsidRPr="009221A3">
        <w:rPr>
          <w:rFonts w:eastAsiaTheme="minorHAnsi"/>
          <w:lang w:eastAsia="en-US"/>
        </w:rPr>
        <w:t>KF</w:t>
      </w:r>
      <w:r w:rsidRPr="009221A3">
        <w:rPr>
          <w:rFonts w:eastAsiaTheme="minorHAnsi"/>
          <w:lang w:eastAsia="en-US"/>
        </w:rPr>
        <w:t xml:space="preserve">, </w:t>
      </w:r>
      <w:r w:rsidR="00103239" w:rsidRPr="009221A3">
        <w:rPr>
          <w:rFonts w:eastAsiaTheme="minorHAnsi"/>
          <w:lang w:eastAsia="en-US"/>
        </w:rPr>
        <w:t>EPFRV, ENRF</w:t>
      </w:r>
      <w:r w:rsidRPr="009221A3">
        <w:rPr>
          <w:rFonts w:eastAsiaTheme="minorHAnsi"/>
          <w:lang w:eastAsia="en-US"/>
        </w:rPr>
        <w:t xml:space="preserve"> a</w:t>
      </w:r>
      <w:r w:rsidR="00103239" w:rsidRPr="009221A3">
        <w:rPr>
          <w:rFonts w:eastAsiaTheme="minorHAnsi"/>
          <w:lang w:eastAsia="en-US"/>
        </w:rPr>
        <w:t> </w:t>
      </w:r>
      <w:r w:rsidRPr="009221A3">
        <w:rPr>
          <w:rFonts w:eastAsiaTheme="minorHAnsi"/>
          <w:lang w:eastAsia="en-US"/>
        </w:rPr>
        <w:t>ktorým</w:t>
      </w:r>
      <w:r w:rsidR="00103239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 xml:space="preserve">sa stanovujú všeobecné ustanovenia o </w:t>
      </w:r>
      <w:r w:rsidR="00103239" w:rsidRPr="009221A3">
        <w:rPr>
          <w:rFonts w:eastAsiaTheme="minorHAnsi"/>
          <w:lang w:eastAsia="en-US"/>
        </w:rPr>
        <w:t xml:space="preserve">EFRR, ESF, KF, ENRF </w:t>
      </w:r>
      <w:r w:rsidRPr="009221A3">
        <w:rPr>
          <w:rFonts w:eastAsiaTheme="minorHAnsi"/>
          <w:lang w:eastAsia="en-US"/>
        </w:rPr>
        <w:t>a ktorým sa</w:t>
      </w:r>
      <w:r w:rsidR="00103239" w:rsidRPr="009221A3">
        <w:rPr>
          <w:rFonts w:eastAsiaTheme="minorHAnsi"/>
          <w:lang w:eastAsia="en-US"/>
        </w:rPr>
        <w:t xml:space="preserve"> </w:t>
      </w:r>
      <w:r w:rsidRPr="009221A3">
        <w:rPr>
          <w:rFonts w:eastAsiaTheme="minorHAnsi"/>
          <w:lang w:eastAsia="en-US"/>
        </w:rPr>
        <w:t>zrušuje nariadenie Rady (ES) č. 1083/2006.</w:t>
      </w:r>
    </w:p>
    <w:p w:rsidR="0019550C" w:rsidRPr="009221A3" w:rsidRDefault="0019550C" w:rsidP="009221A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05E9A" w:rsidRDefault="00B05E9A" w:rsidP="009221A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Zoznam realizovaných hodnotení: </w:t>
      </w:r>
    </w:p>
    <w:p w:rsidR="00B05E9A" w:rsidRDefault="00B05E9A" w:rsidP="009221A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 sledovanom období sa realizovalo ex post hodnotenie OP TP 2007 – 2013, ktoré však bolo ukončené až k 31.</w:t>
      </w:r>
      <w:r w:rsidR="00DE567C">
        <w:rPr>
          <w:rFonts w:eastAsiaTheme="minorHAnsi"/>
          <w:lang w:eastAsia="en-US"/>
        </w:rPr>
        <w:t xml:space="preserve"> 0</w:t>
      </w:r>
      <w:r>
        <w:rPr>
          <w:rFonts w:eastAsiaTheme="minorHAnsi"/>
          <w:lang w:eastAsia="en-US"/>
        </w:rPr>
        <w:t>1.</w:t>
      </w:r>
      <w:r w:rsidR="00DE567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2017. z uvedeného dôvodu predmetné hodnotenie uvádza RO OP TP </w:t>
      </w:r>
      <w:r w:rsidR="00150E32">
        <w:rPr>
          <w:rFonts w:eastAsiaTheme="minorHAnsi"/>
          <w:lang w:eastAsia="en-US"/>
        </w:rPr>
        <w:br/>
      </w:r>
      <w:r w:rsidR="005A6907">
        <w:rPr>
          <w:rFonts w:eastAsiaTheme="minorHAnsi"/>
          <w:lang w:eastAsia="en-US"/>
        </w:rPr>
        <w:t>v zozna</w:t>
      </w:r>
      <w:r>
        <w:rPr>
          <w:rFonts w:eastAsiaTheme="minorHAnsi"/>
          <w:lang w:eastAsia="en-US"/>
        </w:rPr>
        <w:t>me plánovaných hodnotení</w:t>
      </w:r>
    </w:p>
    <w:p w:rsidR="00B05E9A" w:rsidRDefault="00B05E9A" w:rsidP="009221A3">
      <w:pPr>
        <w:jc w:val="both"/>
        <w:rPr>
          <w:rFonts w:eastAsiaTheme="minorHAnsi"/>
          <w:lang w:eastAsia="en-US"/>
        </w:rPr>
      </w:pPr>
    </w:p>
    <w:p w:rsidR="00AA5CDF" w:rsidRDefault="00B05E9A" w:rsidP="009221A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Zoznam plánovaných hodnotení:</w:t>
      </w:r>
    </w:p>
    <w:p w:rsidR="003F38C8" w:rsidRPr="009221A3" w:rsidRDefault="00AA5CDF" w:rsidP="009221A3">
      <w:pPr>
        <w:jc w:val="both"/>
        <w:rPr>
          <w:rFonts w:eastAsiaTheme="minorHAnsi"/>
          <w:lang w:eastAsia="en-US"/>
        </w:rPr>
      </w:pPr>
      <w:r w:rsidRPr="00AA5CDF">
        <w:rPr>
          <w:rFonts w:eastAsiaTheme="minorHAnsi"/>
          <w:lang w:eastAsia="en-US"/>
        </w:rPr>
        <w:t>V súlade s pripravovanou aktualizáciou Plánu hodnotenia OP TP budú v roku 2017</w:t>
      </w:r>
      <w:r w:rsidR="00A46F7A">
        <w:rPr>
          <w:rFonts w:eastAsiaTheme="minorHAnsi"/>
          <w:lang w:eastAsia="en-US"/>
        </w:rPr>
        <w:t>, t.</w:t>
      </w:r>
      <w:r w:rsidR="0019550C">
        <w:rPr>
          <w:rFonts w:eastAsiaTheme="minorHAnsi"/>
          <w:lang w:eastAsia="en-US"/>
        </w:rPr>
        <w:t xml:space="preserve"> </w:t>
      </w:r>
      <w:r w:rsidR="00A46F7A">
        <w:rPr>
          <w:rFonts w:eastAsiaTheme="minorHAnsi"/>
          <w:lang w:eastAsia="en-US"/>
        </w:rPr>
        <w:t xml:space="preserve">z. </w:t>
      </w:r>
      <w:r w:rsidR="00150E32">
        <w:rPr>
          <w:rFonts w:eastAsiaTheme="minorHAnsi"/>
          <w:lang w:eastAsia="en-US"/>
        </w:rPr>
        <w:br/>
      </w:r>
      <w:r w:rsidR="00A46F7A">
        <w:rPr>
          <w:rFonts w:eastAsiaTheme="minorHAnsi"/>
          <w:lang w:eastAsia="en-US"/>
        </w:rPr>
        <w:t>v nasledujúcom sledovanom období,</w:t>
      </w:r>
      <w:r w:rsidRPr="00AA5CDF">
        <w:rPr>
          <w:rFonts w:eastAsiaTheme="minorHAnsi"/>
          <w:lang w:eastAsia="en-US"/>
        </w:rPr>
        <w:t xml:space="preserve"> realizované nasledovné hodnotenia:</w:t>
      </w:r>
    </w:p>
    <w:p w:rsidR="00861872" w:rsidRPr="009221A3" w:rsidRDefault="00970CAB" w:rsidP="009221A3">
      <w:pPr>
        <w:pStyle w:val="Odsekzoznamu"/>
        <w:numPr>
          <w:ilvl w:val="0"/>
          <w:numId w:val="12"/>
        </w:num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Typ hodnotenia:</w:t>
      </w:r>
      <w:r w:rsidR="00EF5B34" w:rsidRPr="009221A3">
        <w:rPr>
          <w:rFonts w:eastAsiaTheme="minorHAnsi"/>
          <w:lang w:eastAsia="en-US"/>
        </w:rPr>
        <w:t xml:space="preserve"> strategické hodnotenie, externé</w:t>
      </w:r>
    </w:p>
    <w:p w:rsidR="0006188A" w:rsidRPr="0006188A" w:rsidRDefault="00970CAB" w:rsidP="0006188A">
      <w:pPr>
        <w:pStyle w:val="Odsekzoznamu"/>
        <w:ind w:left="709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Názov hodnotenia:</w:t>
      </w:r>
      <w:r w:rsidR="00EF5B34" w:rsidRPr="009221A3">
        <w:rPr>
          <w:rFonts w:eastAsiaTheme="minorHAnsi"/>
          <w:lang w:eastAsia="en-US"/>
        </w:rPr>
        <w:t xml:space="preserve"> Ex post hodnotenie OP TP 2007 </w:t>
      </w:r>
      <w:r w:rsidR="0006188A">
        <w:rPr>
          <w:rFonts w:eastAsiaTheme="minorHAnsi"/>
          <w:lang w:eastAsia="en-US"/>
        </w:rPr>
        <w:t>–</w:t>
      </w:r>
      <w:r w:rsidR="00EF5B34" w:rsidRPr="009221A3">
        <w:rPr>
          <w:rFonts w:eastAsiaTheme="minorHAnsi"/>
          <w:lang w:eastAsia="en-US"/>
        </w:rPr>
        <w:t xml:space="preserve"> 2013</w:t>
      </w:r>
    </w:p>
    <w:p w:rsidR="00970CAB" w:rsidRPr="009221A3" w:rsidRDefault="00970CAB" w:rsidP="009221A3">
      <w:pPr>
        <w:pStyle w:val="Odsekzoznamu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Predmet hodnotenia:</w:t>
      </w:r>
      <w:r w:rsidR="00EF5B34" w:rsidRPr="009221A3">
        <w:rPr>
          <w:rFonts w:eastAsiaTheme="minorHAnsi"/>
          <w:lang w:eastAsia="en-US"/>
        </w:rPr>
        <w:t xml:space="preserve"> ex post hodnotenie OP TP</w:t>
      </w:r>
    </w:p>
    <w:p w:rsidR="00970CAB" w:rsidRDefault="00970CAB" w:rsidP="009221A3">
      <w:pPr>
        <w:pStyle w:val="Odsekzoznamu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Predpokladaná doba realizácie hodnotenia:</w:t>
      </w:r>
      <w:r w:rsidR="00F362DC" w:rsidRPr="009221A3">
        <w:rPr>
          <w:rFonts w:eastAsiaTheme="minorHAnsi"/>
          <w:lang w:eastAsia="en-US"/>
        </w:rPr>
        <w:t xml:space="preserve"> </w:t>
      </w:r>
      <w:r w:rsidR="005A6907">
        <w:rPr>
          <w:rFonts w:eastAsiaTheme="minorHAnsi"/>
          <w:lang w:eastAsia="en-US"/>
        </w:rPr>
        <w:t>11</w:t>
      </w:r>
      <w:r w:rsidR="00F362DC" w:rsidRPr="004B05A0">
        <w:rPr>
          <w:rFonts w:eastAsiaTheme="minorHAnsi"/>
          <w:lang w:eastAsia="en-US"/>
        </w:rPr>
        <w:t>/2016</w:t>
      </w:r>
      <w:r w:rsidR="00F362DC" w:rsidRPr="009221A3">
        <w:rPr>
          <w:rFonts w:eastAsiaTheme="minorHAnsi"/>
          <w:lang w:eastAsia="en-US"/>
        </w:rPr>
        <w:t xml:space="preserve"> – </w:t>
      </w:r>
      <w:r w:rsidR="005A6907">
        <w:rPr>
          <w:rFonts w:eastAsiaTheme="minorHAnsi"/>
          <w:lang w:eastAsia="en-US"/>
        </w:rPr>
        <w:t>01</w:t>
      </w:r>
      <w:r w:rsidR="00F362DC" w:rsidRPr="009221A3">
        <w:rPr>
          <w:rFonts w:eastAsiaTheme="minorHAnsi"/>
          <w:lang w:eastAsia="en-US"/>
        </w:rPr>
        <w:t>/201</w:t>
      </w:r>
      <w:r w:rsidR="005A6907">
        <w:rPr>
          <w:rFonts w:eastAsiaTheme="minorHAnsi"/>
          <w:lang w:eastAsia="en-US"/>
        </w:rPr>
        <w:t>7</w:t>
      </w:r>
      <w:r w:rsidR="00B05E9A">
        <w:rPr>
          <w:rFonts w:eastAsiaTheme="minorHAnsi"/>
          <w:lang w:eastAsia="en-US"/>
        </w:rPr>
        <w:t xml:space="preserve"> </w:t>
      </w:r>
    </w:p>
    <w:p w:rsidR="003809A3" w:rsidRDefault="003809A3" w:rsidP="003809A3">
      <w:pPr>
        <w:pStyle w:val="Odsekzoznamu"/>
        <w:jc w:val="both"/>
        <w:rPr>
          <w:rFonts w:eastAsiaTheme="minorHAnsi"/>
          <w:lang w:eastAsia="en-US"/>
        </w:rPr>
      </w:pPr>
    </w:p>
    <w:p w:rsidR="00122CC9" w:rsidRPr="009221A3" w:rsidRDefault="00122CC9" w:rsidP="009221A3">
      <w:pPr>
        <w:pStyle w:val="Odsekzoznamu"/>
        <w:numPr>
          <w:ilvl w:val="0"/>
          <w:numId w:val="12"/>
        </w:num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Typ hodnotenia:</w:t>
      </w:r>
      <w:r w:rsidR="00CD5E76" w:rsidRPr="009221A3">
        <w:rPr>
          <w:rFonts w:eastAsiaTheme="minorHAnsi"/>
          <w:lang w:eastAsia="en-US"/>
        </w:rPr>
        <w:t xml:space="preserve"> priebežné hodnotenie, externé</w:t>
      </w:r>
    </w:p>
    <w:p w:rsidR="00122CC9" w:rsidRPr="009221A3" w:rsidRDefault="00122CC9" w:rsidP="009221A3">
      <w:pPr>
        <w:autoSpaceDE w:val="0"/>
        <w:autoSpaceDN w:val="0"/>
        <w:adjustRightInd w:val="0"/>
        <w:ind w:left="708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Názov hodnotenia:</w:t>
      </w:r>
      <w:r w:rsidR="00384262" w:rsidRPr="009221A3">
        <w:rPr>
          <w:rFonts w:eastAsiaTheme="minorHAnsi"/>
          <w:lang w:eastAsia="en-US"/>
        </w:rPr>
        <w:t xml:space="preserve"> </w:t>
      </w:r>
      <w:r w:rsidR="00CD5E76" w:rsidRPr="009221A3">
        <w:rPr>
          <w:rFonts w:eastAsiaTheme="minorHAnsi"/>
          <w:lang w:eastAsia="en-US"/>
        </w:rPr>
        <w:t>P</w:t>
      </w:r>
      <w:r w:rsidR="00384262" w:rsidRPr="009221A3">
        <w:rPr>
          <w:rFonts w:eastAsiaTheme="minorHAnsi"/>
          <w:lang w:eastAsia="en-US"/>
        </w:rPr>
        <w:t xml:space="preserve">ravidelné </w:t>
      </w:r>
      <w:r w:rsidR="00384262" w:rsidRPr="009221A3">
        <w:rPr>
          <w:rFonts w:eastAsiaTheme="minorHAnsi"/>
          <w:bCs/>
          <w:lang w:eastAsia="en-US"/>
        </w:rPr>
        <w:t>ročné Hodnotenie plnenia cieľov na úrovni prioritných osí a špecifických cieľov OP TP</w:t>
      </w:r>
    </w:p>
    <w:p w:rsidR="00122CC9" w:rsidRPr="009221A3" w:rsidRDefault="00122CC9" w:rsidP="009221A3">
      <w:pPr>
        <w:pStyle w:val="Odsekzoznamu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Predmet hodnotenia:</w:t>
      </w:r>
      <w:r w:rsidR="006856E0" w:rsidRPr="009221A3">
        <w:rPr>
          <w:rFonts w:eastAsiaTheme="minorHAnsi"/>
          <w:lang w:eastAsia="en-US"/>
        </w:rPr>
        <w:t xml:space="preserve"> priebežné hodnotenie OP TP</w:t>
      </w:r>
    </w:p>
    <w:p w:rsidR="00122CC9" w:rsidRDefault="00122CC9" w:rsidP="009221A3">
      <w:pPr>
        <w:pStyle w:val="Odsekzoznamu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lastRenderedPageBreak/>
        <w:t>Predpokladaná doba realizácie hodnotenia:</w:t>
      </w:r>
      <w:r w:rsidR="00CD5E76" w:rsidRPr="009221A3">
        <w:rPr>
          <w:rFonts w:eastAsiaTheme="minorHAnsi"/>
          <w:lang w:eastAsia="en-US"/>
        </w:rPr>
        <w:t xml:space="preserve"> </w:t>
      </w:r>
      <w:r w:rsidR="00A46F7A">
        <w:rPr>
          <w:rFonts w:eastAsiaTheme="minorHAnsi"/>
          <w:lang w:eastAsia="en-US"/>
        </w:rPr>
        <w:t>02</w:t>
      </w:r>
      <w:r w:rsidR="00CD5E76" w:rsidRPr="009221A3">
        <w:rPr>
          <w:rFonts w:eastAsiaTheme="minorHAnsi"/>
          <w:lang w:eastAsia="en-US"/>
        </w:rPr>
        <w:t>/201</w:t>
      </w:r>
      <w:r w:rsidR="00A46F7A">
        <w:rPr>
          <w:rFonts w:eastAsiaTheme="minorHAnsi"/>
          <w:lang w:eastAsia="en-US"/>
        </w:rPr>
        <w:t>7</w:t>
      </w:r>
      <w:r w:rsidR="00CD5E76" w:rsidRPr="009221A3">
        <w:rPr>
          <w:rFonts w:eastAsiaTheme="minorHAnsi"/>
          <w:lang w:eastAsia="en-US"/>
        </w:rPr>
        <w:t xml:space="preserve"> – </w:t>
      </w:r>
      <w:r w:rsidR="00A46F7A">
        <w:rPr>
          <w:rFonts w:eastAsiaTheme="minorHAnsi"/>
          <w:lang w:eastAsia="en-US"/>
        </w:rPr>
        <w:t>04</w:t>
      </w:r>
      <w:r w:rsidR="00CD5E76" w:rsidRPr="009221A3">
        <w:rPr>
          <w:rFonts w:eastAsiaTheme="minorHAnsi"/>
          <w:lang w:eastAsia="en-US"/>
        </w:rPr>
        <w:t>/201</w:t>
      </w:r>
      <w:r w:rsidR="00A46F7A">
        <w:rPr>
          <w:rFonts w:eastAsiaTheme="minorHAnsi"/>
          <w:lang w:eastAsia="en-US"/>
        </w:rPr>
        <w:t>7</w:t>
      </w:r>
      <w:r w:rsidR="00CD5E76" w:rsidRPr="009221A3">
        <w:rPr>
          <w:rFonts w:eastAsiaTheme="minorHAnsi"/>
          <w:lang w:eastAsia="en-US"/>
        </w:rPr>
        <w:t xml:space="preserve">, </w:t>
      </w:r>
    </w:p>
    <w:p w:rsidR="00A46F7A" w:rsidRPr="009221A3" w:rsidRDefault="00A46F7A" w:rsidP="009221A3">
      <w:pPr>
        <w:pStyle w:val="Odsekzoznamu"/>
        <w:jc w:val="both"/>
        <w:rPr>
          <w:rFonts w:eastAsiaTheme="minorHAnsi"/>
          <w:lang w:eastAsia="en-US"/>
        </w:rPr>
      </w:pPr>
    </w:p>
    <w:p w:rsidR="00122CC9" w:rsidRPr="009221A3" w:rsidRDefault="00122CC9" w:rsidP="009221A3">
      <w:pPr>
        <w:pStyle w:val="Odsekzoznamu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Typ hodnotenia:</w:t>
      </w:r>
      <w:r w:rsidR="00D3283E" w:rsidRPr="009221A3">
        <w:rPr>
          <w:rFonts w:eastAsiaTheme="minorHAnsi"/>
          <w:lang w:eastAsia="en-US"/>
        </w:rPr>
        <w:t xml:space="preserve"> strategické priebežné hodnotenie, externé</w:t>
      </w:r>
    </w:p>
    <w:p w:rsidR="00122CC9" w:rsidRPr="009221A3" w:rsidRDefault="00122CC9" w:rsidP="009221A3">
      <w:pPr>
        <w:autoSpaceDE w:val="0"/>
        <w:autoSpaceDN w:val="0"/>
        <w:adjustRightInd w:val="0"/>
        <w:ind w:left="708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Názov hodnotenia:</w:t>
      </w:r>
      <w:r w:rsidR="009F091A" w:rsidRPr="009221A3">
        <w:rPr>
          <w:rFonts w:eastAsiaTheme="minorHAnsi"/>
          <w:lang w:eastAsia="en-US"/>
        </w:rPr>
        <w:t xml:space="preserve"> </w:t>
      </w:r>
      <w:r w:rsidR="009F091A" w:rsidRPr="009221A3">
        <w:rPr>
          <w:rFonts w:eastAsiaTheme="minorHAnsi"/>
          <w:bCs/>
          <w:lang w:eastAsia="en-US"/>
        </w:rPr>
        <w:t>1. Strategické hodnotenie systému riadenia a kontroly OP TP z pohľadu efektívnosti a účinnosti jeho fungovania</w:t>
      </w:r>
    </w:p>
    <w:p w:rsidR="00122CC9" w:rsidRPr="009221A3" w:rsidRDefault="00122CC9" w:rsidP="009221A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Predmet hodnotenia:</w:t>
      </w:r>
      <w:r w:rsidR="008122C7" w:rsidRPr="009221A3">
        <w:rPr>
          <w:rFonts w:eastAsiaTheme="minorHAnsi"/>
          <w:lang w:eastAsia="en-US"/>
        </w:rPr>
        <w:t xml:space="preserve"> posúdenie účinnosti, fyzickej a finančnej efektívnosti OP TP</w:t>
      </w:r>
    </w:p>
    <w:p w:rsidR="00122CC9" w:rsidRDefault="00122CC9" w:rsidP="009221A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>Predpokladaná doba realizácie hodnotenia:</w:t>
      </w:r>
      <w:r w:rsidR="008122C7" w:rsidRPr="009221A3">
        <w:rPr>
          <w:rFonts w:eastAsiaTheme="minorHAnsi"/>
          <w:lang w:eastAsia="en-US"/>
        </w:rPr>
        <w:t xml:space="preserve"> </w:t>
      </w:r>
      <w:r w:rsidR="00D3283E" w:rsidRPr="009221A3">
        <w:rPr>
          <w:rFonts w:eastAsiaTheme="minorHAnsi"/>
          <w:lang w:eastAsia="en-US"/>
        </w:rPr>
        <w:t>08/2016 – 03/2017</w:t>
      </w:r>
    </w:p>
    <w:p w:rsidR="00EB1B75" w:rsidRPr="003809A3" w:rsidRDefault="00EB1B75" w:rsidP="00661D7B">
      <w:pPr>
        <w:rPr>
          <w:rFonts w:eastAsiaTheme="minorHAnsi"/>
          <w:lang w:eastAsia="en-US"/>
        </w:rPr>
      </w:pPr>
    </w:p>
    <w:p w:rsidR="009221A3" w:rsidRDefault="007B58ED" w:rsidP="00C2110E">
      <w:pPr>
        <w:pStyle w:val="MPCKO3"/>
        <w:rPr>
          <w:rFonts w:eastAsiaTheme="minorHAnsi"/>
          <w:lang w:eastAsia="en-US"/>
        </w:rPr>
      </w:pPr>
      <w:bookmarkStart w:id="14" w:name="_Toc482173546"/>
      <w:r>
        <w:rPr>
          <w:rFonts w:eastAsiaTheme="minorHAnsi"/>
          <w:lang w:eastAsia="en-US"/>
        </w:rPr>
        <w:t>I.</w:t>
      </w:r>
      <w:r w:rsidRPr="00AA7D81">
        <w:rPr>
          <w:rFonts w:eastAsiaTheme="minorHAnsi"/>
          <w:lang w:eastAsia="en-US"/>
        </w:rPr>
        <w:t>5. Informácia o realizovaní IZM, ak je relevantné (čl</w:t>
      </w:r>
      <w:r w:rsidR="00DF0808">
        <w:rPr>
          <w:rFonts w:eastAsiaTheme="minorHAnsi"/>
          <w:lang w:eastAsia="en-US"/>
        </w:rPr>
        <w:t>ánok 19 (2) a 19 (4) nariadenia </w:t>
      </w:r>
      <w:r w:rsidR="00DF0808">
        <w:rPr>
          <w:rFonts w:eastAsiaTheme="minorHAnsi"/>
        </w:rPr>
        <w:t>EP a </w:t>
      </w:r>
      <w:r w:rsidRPr="00AA7D81">
        <w:rPr>
          <w:rFonts w:eastAsiaTheme="minorHAnsi"/>
        </w:rPr>
        <w:t xml:space="preserve">Rady (EÚ) </w:t>
      </w:r>
      <w:r w:rsidRPr="00AA7D81">
        <w:rPr>
          <w:rFonts w:eastAsiaTheme="minorHAnsi"/>
          <w:lang w:eastAsia="en-US"/>
        </w:rPr>
        <w:t>č. 1304/2013)</w:t>
      </w:r>
      <w:bookmarkEnd w:id="14"/>
    </w:p>
    <w:p w:rsidR="00C2110E" w:rsidRPr="00C2110E" w:rsidRDefault="00C2110E" w:rsidP="00C2110E">
      <w:pPr>
        <w:rPr>
          <w:rFonts w:eastAsiaTheme="minorHAnsi"/>
          <w:lang w:eastAsia="en-US"/>
        </w:rPr>
      </w:pPr>
    </w:p>
    <w:p w:rsidR="002F4666" w:rsidRDefault="009221A3" w:rsidP="003809A3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3809A3" w:rsidRDefault="003809A3" w:rsidP="003809A3">
      <w:pPr>
        <w:jc w:val="both"/>
        <w:rPr>
          <w:rFonts w:eastAsiaTheme="minorHAnsi"/>
        </w:rPr>
      </w:pPr>
    </w:p>
    <w:p w:rsidR="007B58ED" w:rsidRDefault="007B58ED" w:rsidP="007B58ED">
      <w:pPr>
        <w:pStyle w:val="MPCKO3"/>
        <w:rPr>
          <w:rFonts w:eastAsiaTheme="minorHAnsi"/>
        </w:rPr>
      </w:pPr>
      <w:bookmarkStart w:id="15" w:name="_Toc482173547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6. </w:t>
      </w:r>
      <w:r>
        <w:rPr>
          <w:rFonts w:eastAsiaTheme="minorHAnsi"/>
        </w:rPr>
        <w:t>Problémy</w:t>
      </w:r>
      <w:r w:rsidRPr="00AA7D81">
        <w:rPr>
          <w:rFonts w:eastAsiaTheme="minorHAnsi"/>
        </w:rPr>
        <w:t xml:space="preserve">, ktoré ovplyvňujú </w:t>
      </w:r>
      <w:r>
        <w:rPr>
          <w:rFonts w:eastAsiaTheme="minorHAnsi"/>
        </w:rPr>
        <w:t>výkonnosť</w:t>
      </w:r>
      <w:r w:rsidRPr="00AA7D81">
        <w:rPr>
          <w:rFonts w:eastAsiaTheme="minorHAnsi"/>
        </w:rPr>
        <w:t xml:space="preserve"> programu a prijaté opatrenia</w:t>
      </w:r>
      <w:bookmarkEnd w:id="15"/>
      <w:r w:rsidR="00B60100">
        <w:rPr>
          <w:rFonts w:eastAsiaTheme="minorHAnsi"/>
        </w:rPr>
        <w:t xml:space="preserve"> </w:t>
      </w:r>
    </w:p>
    <w:p w:rsidR="003809A3" w:rsidRPr="003809A3" w:rsidRDefault="003809A3" w:rsidP="003809A3">
      <w:pPr>
        <w:rPr>
          <w:rFonts w:eastAsiaTheme="minorHAnsi"/>
        </w:rPr>
      </w:pPr>
    </w:p>
    <w:p w:rsidR="007B58ED" w:rsidRPr="00F41510" w:rsidRDefault="007B58ED" w:rsidP="003809A3">
      <w:pPr>
        <w:pStyle w:val="Odsekzoznamu"/>
        <w:numPr>
          <w:ilvl w:val="0"/>
          <w:numId w:val="3"/>
        </w:numPr>
        <w:ind w:left="426" w:hanging="426"/>
        <w:jc w:val="both"/>
        <w:rPr>
          <w:rFonts w:eastAsiaTheme="minorHAnsi"/>
        </w:rPr>
      </w:pPr>
      <w:r>
        <w:rPr>
          <w:rFonts w:eastAsiaTheme="minorHAnsi"/>
        </w:rPr>
        <w:t>problémy</w:t>
      </w:r>
      <w:r w:rsidRPr="00A36BC5">
        <w:rPr>
          <w:rFonts w:eastAsiaTheme="minorHAnsi"/>
        </w:rPr>
        <w:t xml:space="preserve">, ktoré ovplyvňujú výkonnosť programu a prijaté opatrenia zo strany </w:t>
      </w:r>
      <w:r>
        <w:rPr>
          <w:rFonts w:eastAsiaTheme="minorHAnsi"/>
        </w:rPr>
        <w:t>RO</w:t>
      </w:r>
      <w:r w:rsidR="00175EDC">
        <w:rPr>
          <w:rFonts w:eastAsiaTheme="minorHAnsi"/>
        </w:rPr>
        <w:t xml:space="preserve"> OP TP</w:t>
      </w:r>
    </w:p>
    <w:p w:rsidR="00B81D4A" w:rsidRPr="009221A3" w:rsidRDefault="00B81D4A" w:rsidP="003809A3">
      <w:pPr>
        <w:pStyle w:val="Odsekzoznamu"/>
        <w:ind w:left="0"/>
        <w:jc w:val="both"/>
        <w:rPr>
          <w:rFonts w:eastAsiaTheme="minorHAnsi"/>
        </w:rPr>
      </w:pPr>
    </w:p>
    <w:p w:rsidR="00EB1B75" w:rsidRPr="009221A3" w:rsidRDefault="00816C09" w:rsidP="003809A3">
      <w:pPr>
        <w:jc w:val="both"/>
      </w:pPr>
      <w:r w:rsidRPr="00816C09">
        <w:t>V roku 2016 bolo v rámci  OP Technická pomoc vykonané 1 certifikačné overovanie na riadiacom orgáne a platobnej jednotke. Overovaná vzorka výdavkov predstavovala sumu 351 721,25 EUR, t. z. 4,29 % z objemu predložených súhrnných žiadostí o platbu. Bolo identifikované zistenie, ktoré sa týkalo nedostatočne vypracovanej podkladovej dokumentácie zo strany RO</w:t>
      </w:r>
      <w:r w:rsidR="00175EDC">
        <w:t xml:space="preserve"> OP TP</w:t>
      </w:r>
      <w:r w:rsidRPr="00816C09">
        <w:t xml:space="preserve">. RO </w:t>
      </w:r>
      <w:r w:rsidR="00175EDC">
        <w:t xml:space="preserve">OP TP </w:t>
      </w:r>
      <w:r w:rsidRPr="00816C09">
        <w:t>prijal nápravné opatrenia a zabezpečil informovanie zamestnanco</w:t>
      </w:r>
      <w:r w:rsidR="00296137">
        <w:t>v RO. Certifikačné overovanie bolo zároveň</w:t>
      </w:r>
      <w:r w:rsidRPr="00816C09">
        <w:t xml:space="preserve"> uzavreté.</w:t>
      </w:r>
    </w:p>
    <w:p w:rsidR="00816C09" w:rsidRDefault="00816C09" w:rsidP="003809A3">
      <w:pPr>
        <w:pStyle w:val="Odsekzoznamu"/>
        <w:ind w:left="0"/>
        <w:jc w:val="both"/>
        <w:rPr>
          <w:rFonts w:eastAsia="EUAlbertina-Regular-Identity-H"/>
        </w:rPr>
      </w:pPr>
    </w:p>
    <w:p w:rsidR="00EB1B75" w:rsidRDefault="00EB1B75" w:rsidP="003809A3">
      <w:pPr>
        <w:pStyle w:val="Odsekzoznamu"/>
        <w:ind w:left="0"/>
        <w:jc w:val="both"/>
        <w:rPr>
          <w:rFonts w:eastAsia="EUAlbertina-Regular-Identity-H"/>
        </w:rPr>
      </w:pPr>
      <w:r w:rsidRPr="009221A3">
        <w:rPr>
          <w:rFonts w:eastAsia="EUAlbertina-Regular-Identity-H"/>
        </w:rPr>
        <w:t>Nedostatky identifikované audítorskou skupinou v rámci auditu pripravenosti č. A641 sú uvedené v časti I.</w:t>
      </w:r>
      <w:r w:rsidR="00E43C3D">
        <w:rPr>
          <w:rFonts w:eastAsia="EUAlbertina-Regular-Identity-H"/>
        </w:rPr>
        <w:t>2.</w:t>
      </w:r>
      <w:r w:rsidRPr="009221A3">
        <w:rPr>
          <w:rFonts w:eastAsia="EUAlbertina-Regular-Identity-H"/>
        </w:rPr>
        <w:t xml:space="preserve"> </w:t>
      </w:r>
      <w:r w:rsidR="00E43C3D">
        <w:rPr>
          <w:rFonts w:eastAsia="EUAlbertina-Regular-Identity-H"/>
        </w:rPr>
        <w:t>Prehľad o vykonávaní programu</w:t>
      </w:r>
      <w:r w:rsidRPr="009221A3">
        <w:rPr>
          <w:rFonts w:eastAsia="EUAlbertina-Regular-Identity-H"/>
        </w:rPr>
        <w:t>.</w:t>
      </w:r>
    </w:p>
    <w:p w:rsidR="00816C09" w:rsidRDefault="00816C09" w:rsidP="003809A3">
      <w:pPr>
        <w:pStyle w:val="Odsekzoznamu"/>
        <w:ind w:left="0"/>
        <w:jc w:val="both"/>
        <w:rPr>
          <w:rFonts w:eastAsia="EUAlbertina-Regular-Identity-H"/>
        </w:rPr>
      </w:pPr>
    </w:p>
    <w:p w:rsidR="00816C09" w:rsidRDefault="00816C09" w:rsidP="003809A3">
      <w:pPr>
        <w:pStyle w:val="Odsekzoznamu"/>
        <w:ind w:left="0"/>
        <w:jc w:val="both"/>
        <w:rPr>
          <w:rFonts w:eastAsia="EUAlbertina-Regular-Identity-H"/>
        </w:rPr>
      </w:pPr>
      <w:r>
        <w:rPr>
          <w:rFonts w:eastAsia="EUAlbertina-Regular-Identity-H"/>
        </w:rPr>
        <w:t xml:space="preserve">RO OP TP v rámci roka 2016 identifikoval nedostatok AK </w:t>
      </w:r>
      <w:r w:rsidR="000B1439">
        <w:rPr>
          <w:rFonts w:eastAsia="EUAlbertina-Regular-Identity-H"/>
        </w:rPr>
        <w:t>RO</w:t>
      </w:r>
      <w:r>
        <w:rPr>
          <w:rFonts w:eastAsia="EUAlbertina-Regular-Identity-H"/>
        </w:rPr>
        <w:t xml:space="preserve"> OP TP</w:t>
      </w:r>
      <w:r w:rsidR="000B1439">
        <w:rPr>
          <w:rFonts w:eastAsia="EUAlbertina-Regular-Identity-H"/>
        </w:rPr>
        <w:t>.</w:t>
      </w:r>
      <w:r>
        <w:rPr>
          <w:rFonts w:eastAsia="EUAlbertina-Regular-Identity-H"/>
        </w:rPr>
        <w:t xml:space="preserve"> </w:t>
      </w:r>
      <w:r w:rsidR="000B1439">
        <w:rPr>
          <w:rFonts w:eastAsia="EUAlbertina-Regular-Identity-H"/>
        </w:rPr>
        <w:t>O</w:t>
      </w:r>
      <w:r>
        <w:rPr>
          <w:rFonts w:eastAsia="EUAlbertina-Regular-Identity-H"/>
        </w:rPr>
        <w:t>bsadenosť</w:t>
      </w:r>
      <w:r w:rsidR="000B1439">
        <w:rPr>
          <w:rFonts w:eastAsia="EUAlbertina-Regular-Identity-H"/>
        </w:rPr>
        <w:t xml:space="preserve"> odboru riadenia</w:t>
      </w:r>
      <w:r>
        <w:rPr>
          <w:rFonts w:eastAsia="EUAlbertina-Regular-Identity-H"/>
        </w:rPr>
        <w:t xml:space="preserve"> bola na úrovni 60 %</w:t>
      </w:r>
      <w:r w:rsidR="000B1439">
        <w:rPr>
          <w:rFonts w:eastAsia="EUAlbertina-Regular-Identity-H"/>
        </w:rPr>
        <w:t xml:space="preserve">, </w:t>
      </w:r>
      <w:r w:rsidR="000B1439" w:rsidRPr="000B1439">
        <w:rPr>
          <w:rFonts w:eastAsia="EUAlbertina-Regular-Identity-H"/>
        </w:rPr>
        <w:t>odbor implementácie projektov mal obsadenosť 75%</w:t>
      </w:r>
      <w:r>
        <w:rPr>
          <w:rFonts w:eastAsia="EUAlbertina-Regular-Identity-H"/>
        </w:rPr>
        <w:t>. Aj</w:t>
      </w:r>
      <w:r w:rsidR="00175EDC">
        <w:rPr>
          <w:rFonts w:eastAsia="EUAlbertina-Regular-Identity-H"/>
        </w:rPr>
        <w:t xml:space="preserve"> vzhľadom na pokročilú</w:t>
      </w:r>
      <w:r w:rsidR="00FF4D54">
        <w:rPr>
          <w:rFonts w:eastAsia="EUAlbertina-Regular-Identity-H"/>
        </w:rPr>
        <w:t xml:space="preserve"> implementáciu programového obdobia a s tým spojenú</w:t>
      </w:r>
      <w:r w:rsidRPr="00816C09">
        <w:rPr>
          <w:rFonts w:eastAsia="EUAlbertina-Regular-Identity-H"/>
        </w:rPr>
        <w:t xml:space="preserve"> </w:t>
      </w:r>
      <w:r w:rsidR="00FF4D54">
        <w:rPr>
          <w:rFonts w:eastAsia="EUAlbertina-Regular-Identity-H"/>
        </w:rPr>
        <w:t>zvýšenú</w:t>
      </w:r>
      <w:r w:rsidRPr="00816C09">
        <w:rPr>
          <w:rFonts w:eastAsia="EUAlbertina-Regular-Identity-H"/>
        </w:rPr>
        <w:t xml:space="preserve"> </w:t>
      </w:r>
      <w:r w:rsidR="00FF4D54">
        <w:rPr>
          <w:rFonts w:eastAsia="EUAlbertina-Regular-Identity-H"/>
        </w:rPr>
        <w:t>administratívnu náročnosť</w:t>
      </w:r>
      <w:r w:rsidR="000B1439">
        <w:rPr>
          <w:rFonts w:eastAsia="EUAlbertina-Regular-Identity-H"/>
        </w:rPr>
        <w:t xml:space="preserve"> sa</w:t>
      </w:r>
      <w:r w:rsidR="004B2545">
        <w:rPr>
          <w:rFonts w:eastAsia="EUAlbertina-Regular-Identity-H"/>
        </w:rPr>
        <w:t xml:space="preserve"> RO OP TP</w:t>
      </w:r>
      <w:r w:rsidR="00FF4D54">
        <w:rPr>
          <w:rFonts w:eastAsia="EUAlbertina-Regular-Identity-H"/>
        </w:rPr>
        <w:t xml:space="preserve"> intenzívne snaží</w:t>
      </w:r>
      <w:r w:rsidR="004B2545">
        <w:rPr>
          <w:rFonts w:eastAsia="EUAlbertina-Regular-Identity-H"/>
        </w:rPr>
        <w:t xml:space="preserve"> </w:t>
      </w:r>
      <w:r w:rsidR="00FF4D54">
        <w:rPr>
          <w:rFonts w:eastAsia="EUAlbertina-Regular-Identity-H"/>
        </w:rPr>
        <w:t>obsadiť voľné pracovné miesta</w:t>
      </w:r>
      <w:r w:rsidRPr="00816C09">
        <w:rPr>
          <w:rFonts w:eastAsia="EUAlbertina-Regular-Identity-H"/>
        </w:rPr>
        <w:t>.</w:t>
      </w:r>
      <w:r w:rsidR="00296137">
        <w:rPr>
          <w:rFonts w:eastAsia="EUAlbertina-Regular-Identity-H"/>
        </w:rPr>
        <w:t xml:space="preserve"> </w:t>
      </w:r>
      <w:r w:rsidR="00FF4D54">
        <w:rPr>
          <w:rFonts w:eastAsia="EUAlbertina-Regular-Identity-H"/>
        </w:rPr>
        <w:t xml:space="preserve">RO OP TP predpokladá 100 % naplnenie stavu AK koncom roka 2017. Významným problémom v rámci AK EŠIF, nielen OP TP, </w:t>
      </w:r>
      <w:r w:rsidR="00296137">
        <w:rPr>
          <w:rFonts w:eastAsia="EUAlbertina-Regular-Identity-H"/>
        </w:rPr>
        <w:t>je absencia voľných kvalifikovaných AK</w:t>
      </w:r>
      <w:r w:rsidR="00FF4D54">
        <w:rPr>
          <w:rFonts w:eastAsia="EUAlbertina-Regular-Identity-H"/>
        </w:rPr>
        <w:t>, ktoré</w:t>
      </w:r>
      <w:r w:rsidR="00296137">
        <w:rPr>
          <w:rFonts w:eastAsia="EUAlbertina-Regular-Identity-H"/>
        </w:rPr>
        <w:t xml:space="preserve"> by sa hneď od nástupu na príslušnú pracovnú pozíciu aktívne a v dostatočnej odbornej miere zapojili do procesu </w:t>
      </w:r>
      <w:r w:rsidR="00FF4D54">
        <w:rPr>
          <w:rFonts w:eastAsia="EUAlbertina-Regular-Identity-H"/>
        </w:rPr>
        <w:t xml:space="preserve">riadenia, resp. </w:t>
      </w:r>
      <w:r w:rsidR="00296137">
        <w:rPr>
          <w:rFonts w:eastAsia="EUAlbertina-Regular-Identity-H"/>
        </w:rPr>
        <w:t> implementácie</w:t>
      </w:r>
      <w:r w:rsidR="00FF4D54">
        <w:rPr>
          <w:rFonts w:eastAsia="EUAlbertina-Regular-Identity-H"/>
        </w:rPr>
        <w:t xml:space="preserve"> </w:t>
      </w:r>
      <w:r w:rsidR="00296137">
        <w:rPr>
          <w:rFonts w:eastAsia="EUAlbertina-Regular-Identity-H"/>
        </w:rPr>
        <w:t>programu. V tomto prípade urýchľuje proces adaptácie už implementovaný</w:t>
      </w:r>
      <w:r w:rsidR="00FF4D54">
        <w:rPr>
          <w:rFonts w:eastAsia="EUAlbertina-Regular-Identity-H"/>
        </w:rPr>
        <w:t xml:space="preserve"> Centrálny systém vzdelávania AK EŠIF</w:t>
      </w:r>
      <w:r w:rsidR="00296137">
        <w:rPr>
          <w:rFonts w:eastAsia="EUAlbertina-Regular-Identity-H"/>
        </w:rPr>
        <w:t xml:space="preserve"> </w:t>
      </w:r>
      <w:r w:rsidR="00FF4D54">
        <w:rPr>
          <w:rFonts w:eastAsia="EUAlbertina-Regular-Identity-H"/>
        </w:rPr>
        <w:t>(ďalej aj „</w:t>
      </w:r>
      <w:r w:rsidR="00296137">
        <w:rPr>
          <w:rFonts w:eastAsia="EUAlbertina-Regular-Identity-H"/>
        </w:rPr>
        <w:t>CSV AK EŠIF</w:t>
      </w:r>
      <w:r w:rsidR="00FF4D54">
        <w:rPr>
          <w:rFonts w:eastAsia="EUAlbertina-Regular-Identity-H"/>
        </w:rPr>
        <w:t>“)</w:t>
      </w:r>
      <w:r w:rsidR="00296137">
        <w:rPr>
          <w:rFonts w:eastAsia="EUAlbertina-Regular-Identity-H"/>
        </w:rPr>
        <w:t xml:space="preserve">, </w:t>
      </w:r>
      <w:r w:rsidR="00FF4D54">
        <w:rPr>
          <w:rFonts w:eastAsia="EUAlbertina-Regular-Identity-H"/>
        </w:rPr>
        <w:t xml:space="preserve">ktorý v značnej miere napomáha </w:t>
      </w:r>
      <w:r w:rsidR="00296137">
        <w:rPr>
          <w:rFonts w:eastAsia="EUAlbertina-Regular-Identity-H"/>
        </w:rPr>
        <w:t>zlepš</w:t>
      </w:r>
      <w:r w:rsidR="00FF4D54">
        <w:rPr>
          <w:rFonts w:eastAsia="EUAlbertina-Regular-Identity-H"/>
        </w:rPr>
        <w:t>ovať</w:t>
      </w:r>
      <w:r w:rsidR="00296137">
        <w:rPr>
          <w:rFonts w:eastAsia="EUAlbertina-Regular-Identity-H"/>
        </w:rPr>
        <w:t xml:space="preserve"> </w:t>
      </w:r>
      <w:r w:rsidR="00FF4D54">
        <w:rPr>
          <w:rFonts w:eastAsia="EUAlbertina-Regular-Identity-H"/>
        </w:rPr>
        <w:t>podmienky pre RO v pozícií</w:t>
      </w:r>
      <w:r w:rsidR="00296137">
        <w:rPr>
          <w:rFonts w:eastAsia="EUAlbertina-Regular-Identity-H"/>
        </w:rPr>
        <w:t xml:space="preserve"> </w:t>
      </w:r>
      <w:r w:rsidR="00FF4D54">
        <w:rPr>
          <w:rFonts w:eastAsia="EUAlbertina-Regular-Identity-H"/>
        </w:rPr>
        <w:t>zamestnávateľov, tak aj pre samotné AK</w:t>
      </w:r>
      <w:r w:rsidR="00296137">
        <w:rPr>
          <w:rFonts w:eastAsia="EUAlbertina-Regular-Identity-H"/>
        </w:rPr>
        <w:t>.</w:t>
      </w:r>
    </w:p>
    <w:p w:rsidR="00FF4D54" w:rsidRDefault="00FF4D54" w:rsidP="003809A3">
      <w:pPr>
        <w:pStyle w:val="Odsekzoznamu"/>
        <w:ind w:left="0"/>
        <w:jc w:val="both"/>
        <w:rPr>
          <w:rFonts w:eastAsia="EUAlbertina-Regular-Identity-H"/>
        </w:rPr>
      </w:pPr>
    </w:p>
    <w:p w:rsidR="00FF4D54" w:rsidRDefault="00FF4D54" w:rsidP="003809A3">
      <w:pPr>
        <w:pStyle w:val="Odsekzoznamu"/>
        <w:ind w:left="0"/>
        <w:jc w:val="both"/>
        <w:rPr>
          <w:rFonts w:eastAsia="EUAlbertina-Regular-Identity-H"/>
        </w:rPr>
      </w:pPr>
      <w:r w:rsidRPr="00FF4D54">
        <w:rPr>
          <w:rFonts w:eastAsia="EUAlbertina-Regular-Identity-H"/>
        </w:rPr>
        <w:t>Ďalším problémom pri implementácii OP TP je nedostatok AK, ktoré by zabezpečili dostatočné finančné riadenie</w:t>
      </w:r>
      <w:r w:rsidR="000B1439" w:rsidRPr="000B1439">
        <w:t xml:space="preserve"> </w:t>
      </w:r>
      <w:r w:rsidR="000B1439" w:rsidRPr="000B1439">
        <w:rPr>
          <w:rFonts w:eastAsia="EUAlbertina-Regular-Identity-H"/>
        </w:rPr>
        <w:t>už pri vyhlasovaní vyzvaní</w:t>
      </w:r>
      <w:r w:rsidRPr="00FF4D54">
        <w:rPr>
          <w:rFonts w:eastAsia="EUAlbertina-Regular-Identity-H"/>
        </w:rPr>
        <w:t>. RO OP TP nemá dostatok AK na posúdenie jednotlivých požiadaviek oprávnených prijímateľov na</w:t>
      </w:r>
      <w:r w:rsidR="000B1439">
        <w:rPr>
          <w:rFonts w:eastAsia="EUAlbertina-Regular-Identity-H"/>
        </w:rPr>
        <w:t xml:space="preserve"> vykonanie</w:t>
      </w:r>
      <w:r w:rsidRPr="00FF4D54">
        <w:rPr>
          <w:rFonts w:eastAsia="EUAlbertina-Regular-Identity-H"/>
        </w:rPr>
        <w:t xml:space="preserve"> analýz</w:t>
      </w:r>
      <w:r w:rsidR="000B1439">
        <w:rPr>
          <w:rFonts w:eastAsia="EUAlbertina-Regular-Identity-H"/>
        </w:rPr>
        <w:t>y</w:t>
      </w:r>
      <w:r w:rsidRPr="00FF4D54">
        <w:rPr>
          <w:rFonts w:eastAsia="EUAlbertina-Regular-Identity-H"/>
        </w:rPr>
        <w:t xml:space="preserve"> predchádzajúcich výdavkov týchto prijímateľov, resp. na posúdenie ich absorpčnej schopnosti.  RO OP TP plánuje tento nedostatok odstrániť využitím externej podpory v tejto oblasti.</w:t>
      </w:r>
    </w:p>
    <w:p w:rsidR="004B2545" w:rsidRDefault="004B2545" w:rsidP="003809A3">
      <w:pPr>
        <w:pStyle w:val="Odsekzoznamu"/>
        <w:ind w:left="0"/>
        <w:jc w:val="both"/>
        <w:rPr>
          <w:rFonts w:eastAsia="EUAlbertina-Regular-Identity-H"/>
        </w:rPr>
      </w:pPr>
    </w:p>
    <w:p w:rsidR="004B2545" w:rsidRDefault="004B2545" w:rsidP="003809A3">
      <w:pPr>
        <w:pStyle w:val="Odsekzoznamu"/>
        <w:ind w:left="0"/>
        <w:jc w:val="both"/>
        <w:rPr>
          <w:rFonts w:eastAsia="EUAlbertina-Regular-Identity-H"/>
        </w:rPr>
      </w:pPr>
      <w:r>
        <w:rPr>
          <w:rFonts w:eastAsia="EUAlbertina-Regular-Identity-H"/>
        </w:rPr>
        <w:t>Proces implementácie OP TP do značnej miery ovplyvnila aj delimitácia CKO z ÚV SR na ÚP</w:t>
      </w:r>
      <w:r w:rsidR="00FF4D54">
        <w:rPr>
          <w:rFonts w:eastAsia="EUAlbertina-Regular-Identity-H"/>
        </w:rPr>
        <w:t>P</w:t>
      </w:r>
      <w:r>
        <w:rPr>
          <w:rFonts w:eastAsia="EUAlbertina-Regular-Identity-H"/>
        </w:rPr>
        <w:t>VII</w:t>
      </w:r>
      <w:r w:rsidR="00FF4D54">
        <w:rPr>
          <w:rFonts w:eastAsia="EUAlbertina-Regular-Identity-H"/>
        </w:rPr>
        <w:t xml:space="preserve"> SR</w:t>
      </w:r>
      <w:r>
        <w:rPr>
          <w:rFonts w:eastAsia="EUAlbertina-Regular-Identity-H"/>
        </w:rPr>
        <w:t xml:space="preserve">. Spomalenie implementácie nastalo hlavne </w:t>
      </w:r>
      <w:r w:rsidR="000B1439">
        <w:rPr>
          <w:rFonts w:eastAsia="EUAlbertina-Regular-Identity-H"/>
        </w:rPr>
        <w:t>z dôvodu</w:t>
      </w:r>
      <w:r>
        <w:rPr>
          <w:rFonts w:eastAsia="EUAlbertina-Regular-Identity-H"/>
        </w:rPr>
        <w:t xml:space="preserve"> potreby aktualizácie</w:t>
      </w:r>
      <w:r w:rsidR="000B1439">
        <w:rPr>
          <w:rFonts w:eastAsia="EUAlbertina-Regular-Identity-H"/>
        </w:rPr>
        <w:t xml:space="preserve"> už</w:t>
      </w:r>
      <w:r>
        <w:rPr>
          <w:rFonts w:eastAsia="EUAlbertina-Regular-Identity-H"/>
        </w:rPr>
        <w:t xml:space="preserve"> </w:t>
      </w:r>
      <w:r>
        <w:rPr>
          <w:rFonts w:eastAsia="EUAlbertina-Regular-Identity-H"/>
        </w:rPr>
        <w:lastRenderedPageBreak/>
        <w:t>vyhlásených vyzvaní, aktualizácie riadiacej dokumentácie, potreby mimoriadneho ukončenia realizovaných projektov a schvaľovania opätovne predložených projektov, čo v konečnom dôsledku zvýšilo administratívnu náročnosť AK</w:t>
      </w:r>
      <w:r w:rsidR="000B1439">
        <w:rPr>
          <w:rFonts w:eastAsia="EUAlbertina-Regular-Identity-H"/>
        </w:rPr>
        <w:t xml:space="preserve"> na</w:t>
      </w:r>
      <w:r>
        <w:rPr>
          <w:rFonts w:eastAsia="EUAlbertina-Regular-Identity-H"/>
        </w:rPr>
        <w:t xml:space="preserve"> RO OP TP. Vplyvom delimitácie CKO došlo k spomaleniu procesu realizácie verejného obstarávania v prípade projektov ÚP</w:t>
      </w:r>
      <w:r w:rsidR="00FF4D54">
        <w:rPr>
          <w:rFonts w:eastAsia="EUAlbertina-Regular-Identity-H"/>
        </w:rPr>
        <w:t>P</w:t>
      </w:r>
      <w:r>
        <w:rPr>
          <w:rFonts w:eastAsia="EUAlbertina-Regular-Identity-H"/>
        </w:rPr>
        <w:t>VII</w:t>
      </w:r>
      <w:r w:rsidR="00FF4D54">
        <w:rPr>
          <w:rFonts w:eastAsia="EUAlbertina-Regular-Identity-H"/>
        </w:rPr>
        <w:t xml:space="preserve"> SR</w:t>
      </w:r>
      <w:r>
        <w:rPr>
          <w:rFonts w:eastAsia="EUAlbertina-Regular-Identity-H"/>
        </w:rPr>
        <w:t>,</w:t>
      </w:r>
      <w:r w:rsidR="000B1439">
        <w:rPr>
          <w:rFonts w:eastAsia="EUAlbertina-Regular-Identity-H"/>
        </w:rPr>
        <w:t xml:space="preserve"> ktorý je prijímateľom</w:t>
      </w:r>
      <w:r>
        <w:rPr>
          <w:rFonts w:eastAsia="EUAlbertina-Regular-Identity-H"/>
        </w:rPr>
        <w:t xml:space="preserve"> v takmer všetkých aktivitách </w:t>
      </w:r>
      <w:r w:rsidR="00C72A5A">
        <w:rPr>
          <w:rFonts w:eastAsia="EUAlbertina-Regular-Identity-H"/>
        </w:rPr>
        <w:t>ŠC</w:t>
      </w:r>
      <w:r>
        <w:rPr>
          <w:rFonts w:eastAsia="EUAlbertina-Regular-Identity-H"/>
        </w:rPr>
        <w:t xml:space="preserve"> oboch pri</w:t>
      </w:r>
      <w:r w:rsidR="00FF4D54">
        <w:rPr>
          <w:rFonts w:eastAsia="EUAlbertina-Regular-Identity-H"/>
        </w:rPr>
        <w:t>oritných osí OP</w:t>
      </w:r>
      <w:r w:rsidR="000B1439">
        <w:rPr>
          <w:rFonts w:eastAsia="EUAlbertina-Regular-Identity-H"/>
        </w:rPr>
        <w:t xml:space="preserve"> TP.</w:t>
      </w:r>
      <w:r>
        <w:rPr>
          <w:rFonts w:eastAsia="EUAlbertina-Regular-Identity-H"/>
        </w:rPr>
        <w:t xml:space="preserve">. </w:t>
      </w:r>
      <w:r w:rsidR="000B1439">
        <w:rPr>
          <w:rFonts w:eastAsia="EUAlbertina-Regular-Identity-H"/>
        </w:rPr>
        <w:t>Na základe</w:t>
      </w:r>
      <w:r w:rsidR="00296137">
        <w:rPr>
          <w:rFonts w:eastAsia="EUAlbertina-Regular-Identity-H"/>
        </w:rPr>
        <w:t xml:space="preserve"> skúseností z predchádzajúceho progr</w:t>
      </w:r>
      <w:r w:rsidR="00FF4D54">
        <w:rPr>
          <w:rFonts w:eastAsia="EUAlbertina-Regular-Identity-H"/>
        </w:rPr>
        <w:t>amového obdobia 2007-2013 je však</w:t>
      </w:r>
      <w:r w:rsidR="00296137">
        <w:rPr>
          <w:rFonts w:eastAsia="EUAlbertina-Regular-Identity-H"/>
        </w:rPr>
        <w:t xml:space="preserve"> RO OP TP </w:t>
      </w:r>
      <w:r w:rsidR="00FF4D54">
        <w:rPr>
          <w:rFonts w:eastAsia="EUAlbertina-Regular-Identity-H"/>
        </w:rPr>
        <w:t>schopný dostatočne</w:t>
      </w:r>
      <w:r w:rsidR="001F18EB">
        <w:rPr>
          <w:rFonts w:eastAsia="EUAlbertina-Regular-Identity-H"/>
        </w:rPr>
        <w:t xml:space="preserve"> </w:t>
      </w:r>
      <w:r w:rsidR="00FF4D54">
        <w:rPr>
          <w:rFonts w:eastAsia="EUAlbertina-Regular-Identity-H"/>
        </w:rPr>
        <w:t>operatívne</w:t>
      </w:r>
      <w:r w:rsidR="00296137">
        <w:rPr>
          <w:rFonts w:eastAsia="EUAlbertina-Regular-Identity-H"/>
        </w:rPr>
        <w:t xml:space="preserve"> reag</w:t>
      </w:r>
      <w:r w:rsidR="00FF4D54">
        <w:rPr>
          <w:rFonts w:eastAsia="EUAlbertina-Regular-Identity-H"/>
        </w:rPr>
        <w:t>ovať</w:t>
      </w:r>
      <w:r w:rsidR="00296137">
        <w:rPr>
          <w:rFonts w:eastAsia="EUAlbertina-Regular-Identity-H"/>
        </w:rPr>
        <w:t xml:space="preserve"> na vzniknutú administratívnu </w:t>
      </w:r>
      <w:r w:rsidR="000B1439">
        <w:rPr>
          <w:rFonts w:eastAsia="EUAlbertina-Regular-Identity-H"/>
        </w:rPr>
        <w:t xml:space="preserve">záťaž </w:t>
      </w:r>
      <w:r w:rsidR="00FF4D54">
        <w:rPr>
          <w:rFonts w:eastAsia="EUAlbertina-Regular-Identity-H"/>
        </w:rPr>
        <w:t>spojenú</w:t>
      </w:r>
      <w:r w:rsidR="001F18EB">
        <w:rPr>
          <w:rFonts w:eastAsia="EUAlbertina-Regular-Identity-H"/>
        </w:rPr>
        <w:t xml:space="preserve"> s delimitáciami. </w:t>
      </w:r>
      <w:r w:rsidR="00FF4D54">
        <w:rPr>
          <w:rFonts w:eastAsia="EUAlbertina-Regular-Identity-H"/>
        </w:rPr>
        <w:t xml:space="preserve">Zamedzenie </w:t>
      </w:r>
      <w:r w:rsidR="001F18EB">
        <w:rPr>
          <w:rFonts w:eastAsia="EUAlbertina-Regular-Identity-H"/>
        </w:rPr>
        <w:t>vplyv</w:t>
      </w:r>
      <w:r w:rsidR="000B1439">
        <w:rPr>
          <w:rFonts w:eastAsia="EUAlbertina-Regular-Identity-H"/>
        </w:rPr>
        <w:t>u</w:t>
      </w:r>
      <w:r w:rsidR="001F18EB">
        <w:rPr>
          <w:rFonts w:eastAsia="EUAlbertina-Regular-Identity-H"/>
        </w:rPr>
        <w:t xml:space="preserve"> politických rozhodnutí však nie je v kompetencii RO OP TP.</w:t>
      </w:r>
    </w:p>
    <w:p w:rsidR="00A12C35" w:rsidRPr="00FF4D54" w:rsidRDefault="00A12C35" w:rsidP="00087513">
      <w:pPr>
        <w:jc w:val="both"/>
        <w:rPr>
          <w:rFonts w:eastAsiaTheme="minorHAnsi"/>
        </w:rPr>
      </w:pPr>
    </w:p>
    <w:p w:rsidR="007B58ED" w:rsidRDefault="007B58ED" w:rsidP="003809A3">
      <w:pPr>
        <w:pStyle w:val="Odsekzoznamu"/>
        <w:numPr>
          <w:ilvl w:val="0"/>
          <w:numId w:val="3"/>
        </w:numPr>
        <w:ind w:left="426" w:hanging="426"/>
        <w:jc w:val="both"/>
        <w:rPr>
          <w:rFonts w:eastAsiaTheme="minorHAnsi"/>
        </w:rPr>
      </w:pPr>
      <w:r w:rsidRPr="00A6590E">
        <w:rPr>
          <w:rFonts w:eastAsiaTheme="minorHAnsi"/>
        </w:rPr>
        <w:t>zhodnotenie reálnosti dosiahnutia cieľov a prípadné uskutočnené alebo plánované opatrenia</w:t>
      </w:r>
    </w:p>
    <w:p w:rsidR="00903F40" w:rsidRDefault="00903F40" w:rsidP="00C2110E">
      <w:pPr>
        <w:jc w:val="both"/>
        <w:rPr>
          <w:rFonts w:eastAsiaTheme="minorHAnsi"/>
        </w:rPr>
      </w:pPr>
    </w:p>
    <w:p w:rsidR="005F410E" w:rsidRDefault="00076FE1" w:rsidP="00C2110E">
      <w:pPr>
        <w:jc w:val="both"/>
        <w:rPr>
          <w:rFonts w:eastAsiaTheme="minorHAnsi"/>
        </w:rPr>
      </w:pPr>
      <w:r w:rsidRPr="00076FE1">
        <w:rPr>
          <w:rFonts w:eastAsiaTheme="minorHAnsi"/>
        </w:rPr>
        <w:t>Podrobné informácie k reálnosti dosiahnutia cieľov a plánované opatrenia sú uvedené v kapitole I.11.1.</w:t>
      </w:r>
    </w:p>
    <w:p w:rsidR="00A12C35" w:rsidRDefault="00A12C35" w:rsidP="00BF057D">
      <w:pPr>
        <w:rPr>
          <w:rFonts w:eastAsiaTheme="minorHAnsi"/>
        </w:rPr>
      </w:pPr>
    </w:p>
    <w:p w:rsidR="005D5E56" w:rsidRDefault="005D5E56" w:rsidP="00BF057D">
      <w:pPr>
        <w:pStyle w:val="MPCKO3"/>
        <w:spacing w:before="0"/>
        <w:rPr>
          <w:rFonts w:eastAsiaTheme="minorHAnsi"/>
        </w:rPr>
      </w:pPr>
    </w:p>
    <w:p w:rsidR="007B58ED" w:rsidRDefault="007B58ED" w:rsidP="00BF057D">
      <w:pPr>
        <w:pStyle w:val="MPCKO3"/>
        <w:spacing w:before="0"/>
        <w:rPr>
          <w:rFonts w:eastAsiaTheme="minorHAnsi"/>
        </w:rPr>
      </w:pPr>
      <w:bookmarkStart w:id="16" w:name="_Toc482173548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7. </w:t>
      </w:r>
      <w:r w:rsidRPr="00F41510">
        <w:rPr>
          <w:rFonts w:eastAsiaTheme="minorHAnsi"/>
        </w:rPr>
        <w:t>Zhrnutie pre občanov</w:t>
      </w:r>
      <w:bookmarkEnd w:id="16"/>
      <w:r w:rsidRPr="007D59DC">
        <w:rPr>
          <w:rFonts w:eastAsiaTheme="minorHAnsi"/>
        </w:rPr>
        <w:t xml:space="preserve"> </w:t>
      </w:r>
    </w:p>
    <w:p w:rsidR="005F410E" w:rsidRPr="005F410E" w:rsidRDefault="005F410E" w:rsidP="00BF057D">
      <w:pPr>
        <w:rPr>
          <w:rFonts w:eastAsiaTheme="minorHAnsi"/>
        </w:rPr>
      </w:pPr>
    </w:p>
    <w:p w:rsidR="00CB6D6C" w:rsidRPr="007D59DC" w:rsidRDefault="00CB6D6C" w:rsidP="002021A8">
      <w:pPr>
        <w:jc w:val="both"/>
        <w:rPr>
          <w:rFonts w:eastAsiaTheme="minorHAnsi"/>
          <w:b/>
        </w:rPr>
      </w:pPr>
      <w:r w:rsidRPr="007D59DC">
        <w:rPr>
          <w:rFonts w:eastAsiaTheme="minorHAnsi"/>
        </w:rPr>
        <w:t>Zhrnutie obsahu výročnej správy pre občanov tvorí samostatný dokument vo forme príloh</w:t>
      </w:r>
      <w:r w:rsidR="007D59DC">
        <w:rPr>
          <w:rFonts w:eastAsiaTheme="minorHAnsi"/>
        </w:rPr>
        <w:t xml:space="preserve">y </w:t>
      </w:r>
      <w:r w:rsidR="007D59DC">
        <w:rPr>
          <w:rFonts w:eastAsiaTheme="minorHAnsi"/>
        </w:rPr>
        <w:br/>
        <w:t>výročnej správy, ktorá bude</w:t>
      </w:r>
      <w:r w:rsidRPr="007D59DC">
        <w:rPr>
          <w:rFonts w:eastAsiaTheme="minorHAnsi"/>
        </w:rPr>
        <w:t xml:space="preserve"> zverejnená v časti „Monitorovanie“ na webovom sídle </w:t>
      </w:r>
      <w:hyperlink r:id="rId17" w:history="1">
        <w:r w:rsidRPr="007D59DC">
          <w:rPr>
            <w:rStyle w:val="Hypertextovprepojenie"/>
            <w:rFonts w:eastAsiaTheme="minorHAnsi"/>
            <w:color w:val="auto"/>
          </w:rPr>
          <w:t>http://www.optp.vlada.gov.sk/operacny-program-technicka-pomoc-na-obdobie-2014-2020/</w:t>
        </w:r>
      </w:hyperlink>
      <w:r w:rsidRPr="007D59DC">
        <w:rPr>
          <w:rFonts w:eastAsiaTheme="minorHAnsi"/>
        </w:rPr>
        <w:t>.</w:t>
      </w:r>
    </w:p>
    <w:p w:rsidR="00CB6D6C" w:rsidRDefault="00CB6D6C" w:rsidP="002021A8">
      <w:pPr>
        <w:jc w:val="both"/>
        <w:rPr>
          <w:rFonts w:eastAsiaTheme="minorHAnsi"/>
        </w:rPr>
      </w:pPr>
    </w:p>
    <w:p w:rsidR="005D5E56" w:rsidRDefault="005D5E56" w:rsidP="00BF057D">
      <w:pPr>
        <w:pStyle w:val="MPCKO3"/>
        <w:spacing w:before="0"/>
        <w:rPr>
          <w:rFonts w:eastAsiaTheme="minorHAnsi"/>
        </w:rPr>
      </w:pPr>
    </w:p>
    <w:p w:rsidR="007B58ED" w:rsidRDefault="007B58ED" w:rsidP="00BF057D">
      <w:pPr>
        <w:pStyle w:val="MPCKO3"/>
        <w:spacing w:before="0"/>
        <w:rPr>
          <w:rFonts w:eastAsiaTheme="minorHAnsi"/>
        </w:rPr>
      </w:pPr>
      <w:bookmarkStart w:id="17" w:name="_Toc482173549"/>
      <w:r>
        <w:rPr>
          <w:rFonts w:eastAsiaTheme="minorHAnsi"/>
        </w:rPr>
        <w:t>I.</w:t>
      </w:r>
      <w:r w:rsidRPr="00AA7D81">
        <w:rPr>
          <w:rFonts w:eastAsiaTheme="minorHAnsi"/>
        </w:rPr>
        <w:t>8. Správa o </w:t>
      </w:r>
      <w:r>
        <w:rPr>
          <w:rFonts w:eastAsiaTheme="minorHAnsi"/>
        </w:rPr>
        <w:t>vykonávaní</w:t>
      </w:r>
      <w:r w:rsidRPr="00AA7D81">
        <w:rPr>
          <w:rFonts w:eastAsiaTheme="minorHAnsi"/>
        </w:rPr>
        <w:t xml:space="preserve"> finančných nástrojov (článok </w:t>
      </w:r>
      <w:r w:rsidR="00DF0808">
        <w:rPr>
          <w:rFonts w:eastAsiaTheme="minorHAnsi"/>
        </w:rPr>
        <w:t>46 nariadenia EP a</w:t>
      </w:r>
      <w:r w:rsidR="000E36D0">
        <w:rPr>
          <w:rFonts w:eastAsiaTheme="minorHAnsi"/>
        </w:rPr>
        <w:t> </w:t>
      </w:r>
      <w:r w:rsidR="00DF0808">
        <w:rPr>
          <w:rFonts w:eastAsiaTheme="minorHAnsi"/>
        </w:rPr>
        <w:t>Rady</w:t>
      </w:r>
      <w:r w:rsidR="000E36D0">
        <w:rPr>
          <w:rFonts w:eastAsiaTheme="minorHAnsi"/>
        </w:rPr>
        <w:t xml:space="preserve"> (EÚ) </w:t>
      </w:r>
      <w:r w:rsidR="00E826F5">
        <w:rPr>
          <w:rFonts w:eastAsiaTheme="minorHAnsi"/>
        </w:rPr>
        <w:t>č. </w:t>
      </w:r>
      <w:r w:rsidRPr="00AA7D81">
        <w:rPr>
          <w:rFonts w:eastAsiaTheme="minorHAnsi"/>
        </w:rPr>
        <w:t>1303/2013)</w:t>
      </w:r>
      <w:bookmarkEnd w:id="17"/>
    </w:p>
    <w:p w:rsidR="00153B82" w:rsidRPr="00153B82" w:rsidRDefault="00153B82" w:rsidP="00BF057D">
      <w:pPr>
        <w:rPr>
          <w:rFonts w:eastAsiaTheme="minorHAnsi"/>
        </w:rPr>
      </w:pPr>
    </w:p>
    <w:p w:rsidR="00153B82" w:rsidRPr="00153B82" w:rsidRDefault="00153B82" w:rsidP="00BF057D">
      <w:pPr>
        <w:jc w:val="both"/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7B58ED" w:rsidRDefault="007B58ED" w:rsidP="00BF057D">
      <w:pPr>
        <w:jc w:val="both"/>
        <w:rPr>
          <w:rFonts w:eastAsiaTheme="minorHAnsi"/>
        </w:rPr>
      </w:pPr>
    </w:p>
    <w:p w:rsidR="005D5E56" w:rsidRDefault="005D5E56" w:rsidP="00BF057D">
      <w:pPr>
        <w:pStyle w:val="MPCKO3"/>
        <w:spacing w:before="0"/>
        <w:rPr>
          <w:shd w:val="clear" w:color="auto" w:fill="FFFFFF" w:themeFill="background1"/>
        </w:rPr>
      </w:pPr>
    </w:p>
    <w:p w:rsidR="0006692B" w:rsidRDefault="007B58ED" w:rsidP="00BF057D">
      <w:pPr>
        <w:pStyle w:val="MPCKO3"/>
        <w:spacing w:before="0"/>
        <w:rPr>
          <w:shd w:val="clear" w:color="auto" w:fill="FFFFFF" w:themeFill="background1"/>
        </w:rPr>
      </w:pPr>
      <w:bookmarkStart w:id="18" w:name="_Toc480443187"/>
      <w:bookmarkStart w:id="19" w:name="_Toc482173550"/>
      <w:r w:rsidRPr="00A6590E">
        <w:rPr>
          <w:shd w:val="clear" w:color="auto" w:fill="FFFFFF" w:themeFill="background1"/>
        </w:rPr>
        <w:t xml:space="preserve">I.9. </w:t>
      </w:r>
      <w:r>
        <w:rPr>
          <w:shd w:val="clear" w:color="auto" w:fill="FFFFFF" w:themeFill="background1"/>
        </w:rPr>
        <w:t>Opatrenia prijaté n</w:t>
      </w:r>
      <w:r w:rsidRPr="00A6590E">
        <w:rPr>
          <w:shd w:val="clear" w:color="auto" w:fill="FFFFFF" w:themeFill="background1"/>
        </w:rPr>
        <w:t>a splnenie ex-ante kondicionalít (č</w:t>
      </w:r>
      <w:r w:rsidR="000E36D0">
        <w:rPr>
          <w:shd w:val="clear" w:color="auto" w:fill="FFFFFF" w:themeFill="background1"/>
        </w:rPr>
        <w:t>lánok 50 (2) nariadenia EP a Rady (EÚ) č. </w:t>
      </w:r>
      <w:r w:rsidRPr="00A6590E">
        <w:rPr>
          <w:shd w:val="clear" w:color="auto" w:fill="FFFFFF" w:themeFill="background1"/>
        </w:rPr>
        <w:t>1303/2013)</w:t>
      </w:r>
      <w:bookmarkEnd w:id="18"/>
      <w:bookmarkEnd w:id="19"/>
    </w:p>
    <w:p w:rsidR="00633E29" w:rsidRDefault="00633E29" w:rsidP="00576A72">
      <w:pPr>
        <w:jc w:val="both"/>
        <w:rPr>
          <w:shd w:val="clear" w:color="auto" w:fill="FFFFFF" w:themeFill="background1"/>
        </w:rPr>
      </w:pPr>
    </w:p>
    <w:p w:rsidR="0090295C" w:rsidRDefault="00633E29" w:rsidP="00576A72">
      <w:pPr>
        <w:jc w:val="both"/>
      </w:pPr>
      <w:r>
        <w:rPr>
          <w:shd w:val="clear" w:color="auto" w:fill="FFFFFF" w:themeFill="background1"/>
        </w:rPr>
        <w:t xml:space="preserve">Informácia k prijatým opatreniam na splnenie ex-ante kondicionalít </w:t>
      </w:r>
      <w:r w:rsidR="00761674">
        <w:rPr>
          <w:shd w:val="clear" w:color="auto" w:fill="FFFFFF" w:themeFill="background1"/>
        </w:rPr>
        <w:t xml:space="preserve">v zmysle tohto odseku </w:t>
      </w:r>
      <w:r>
        <w:rPr>
          <w:shd w:val="clear" w:color="auto" w:fill="FFFFFF" w:themeFill="background1"/>
        </w:rPr>
        <w:t>bola predmetom Výročnej správy za roky 2014-2015. Pre aktuálnu správu za rok 2016 nie je odsek pre RO OP TP relevantný. Informácia k splneniu ex-ante kondicionalít je uvedená v odseku I.15.</w:t>
      </w:r>
    </w:p>
    <w:p w:rsidR="0079710C" w:rsidRDefault="0079710C" w:rsidP="005D5E56">
      <w:pPr>
        <w:jc w:val="both"/>
      </w:pPr>
    </w:p>
    <w:p w:rsidR="00F5375B" w:rsidRDefault="00F5375B" w:rsidP="00BF057D">
      <w:pPr>
        <w:rPr>
          <w:rFonts w:eastAsiaTheme="minorHAnsi"/>
        </w:rPr>
      </w:pPr>
    </w:p>
    <w:p w:rsidR="007B58ED" w:rsidRDefault="007B58ED" w:rsidP="00BF057D">
      <w:pPr>
        <w:rPr>
          <w:b/>
          <w:color w:val="365F91" w:themeColor="accent1" w:themeShade="BF"/>
          <w:sz w:val="26"/>
          <w:szCs w:val="26"/>
        </w:rPr>
      </w:pPr>
      <w:r w:rsidRPr="00F5375B">
        <w:rPr>
          <w:b/>
          <w:color w:val="365F91" w:themeColor="accent1" w:themeShade="BF"/>
          <w:sz w:val="26"/>
          <w:szCs w:val="26"/>
        </w:rPr>
        <w:t>I.10. Pokrok pri príprave a implementácii veľkých projektov a spoločných akčných plánov (článok 101(h) a 111(3) nariadenia EP a Rady (EÚ) č. 1303/2013 a článok 14 ods. 3 písm. b) nariadenia (EÚ) č. 1299/2013)</w:t>
      </w:r>
    </w:p>
    <w:p w:rsidR="00BF057D" w:rsidRDefault="00BF057D" w:rsidP="00BF057D">
      <w:pPr>
        <w:rPr>
          <w:b/>
          <w:color w:val="365F91" w:themeColor="accent1" w:themeShade="BF"/>
          <w:sz w:val="26"/>
          <w:szCs w:val="26"/>
        </w:rPr>
      </w:pPr>
    </w:p>
    <w:p w:rsidR="007B58ED" w:rsidRDefault="00153B82" w:rsidP="00BF057D">
      <w:pPr>
        <w:rPr>
          <w:rFonts w:eastAsiaTheme="minorHAnsi"/>
        </w:rPr>
      </w:pPr>
      <w:r w:rsidRPr="003D2845">
        <w:rPr>
          <w:rFonts w:eastAsiaTheme="minorHAnsi"/>
        </w:rPr>
        <w:t>Požadované informácie nie sú pre OP TP relevantné.</w:t>
      </w:r>
    </w:p>
    <w:p w:rsidR="0049162E" w:rsidRDefault="0049162E" w:rsidP="00BF057D">
      <w:pPr>
        <w:jc w:val="both"/>
        <w:rPr>
          <w:rFonts w:eastAsiaTheme="minorHAnsi"/>
          <w:b/>
        </w:rPr>
      </w:pPr>
    </w:p>
    <w:p w:rsidR="00542440" w:rsidRPr="00AA7D81" w:rsidRDefault="00542440" w:rsidP="00542440">
      <w:pPr>
        <w:pStyle w:val="MPCKO2"/>
        <w:rPr>
          <w:rFonts w:eastAsiaTheme="minorHAnsi"/>
        </w:rPr>
      </w:pPr>
      <w:bookmarkStart w:id="20" w:name="_Toc428367960"/>
      <w:bookmarkStart w:id="21" w:name="_Toc482173551"/>
      <w:r w:rsidRPr="00AA7D81">
        <w:rPr>
          <w:rFonts w:eastAsiaTheme="minorHAnsi"/>
        </w:rPr>
        <w:lastRenderedPageBreak/>
        <w:t xml:space="preserve">ČASŤ B </w:t>
      </w:r>
      <w:r>
        <w:rPr>
          <w:rFonts w:eastAsiaTheme="minorHAnsi"/>
        </w:rPr>
        <w:t xml:space="preserve">- </w:t>
      </w:r>
      <w:r w:rsidRPr="00AA7D81">
        <w:rPr>
          <w:rFonts w:eastAsiaTheme="minorHAnsi"/>
        </w:rPr>
        <w:t xml:space="preserve">Informácie </w:t>
      </w:r>
      <w:r>
        <w:rPr>
          <w:rFonts w:eastAsiaTheme="minorHAnsi"/>
        </w:rPr>
        <w:t>uvádzané vo výročnej správe</w:t>
      </w:r>
      <w:r w:rsidRPr="00AA7D81">
        <w:rPr>
          <w:rFonts w:eastAsiaTheme="minorHAnsi"/>
        </w:rPr>
        <w:t xml:space="preserve"> </w:t>
      </w:r>
      <w:r>
        <w:rPr>
          <w:rFonts w:eastAsiaTheme="minorHAnsi"/>
        </w:rPr>
        <w:t>predkladanej v</w:t>
      </w:r>
      <w:r w:rsidRPr="00AA7D81">
        <w:rPr>
          <w:rFonts w:eastAsiaTheme="minorHAnsi"/>
        </w:rPr>
        <w:t xml:space="preserve"> rok</w:t>
      </w:r>
      <w:r>
        <w:rPr>
          <w:rFonts w:eastAsiaTheme="minorHAnsi"/>
        </w:rPr>
        <w:t>u 2017, 2019</w:t>
      </w:r>
      <w:r w:rsidRPr="00AA7D81">
        <w:rPr>
          <w:rFonts w:eastAsiaTheme="minorHAnsi"/>
        </w:rPr>
        <w:t xml:space="preserve"> a v záverečnej správe (článok 50 (4) a </w:t>
      </w:r>
      <w:r>
        <w:rPr>
          <w:rFonts w:eastAsiaTheme="minorHAnsi"/>
        </w:rPr>
        <w:t>111(3</w:t>
      </w:r>
      <w:r w:rsidRPr="00AA7D81">
        <w:rPr>
          <w:rFonts w:eastAsiaTheme="minorHAnsi"/>
        </w:rPr>
        <w:t>)</w:t>
      </w:r>
      <w:r>
        <w:rPr>
          <w:rFonts w:eastAsiaTheme="minorHAnsi"/>
        </w:rPr>
        <w:t xml:space="preserve"> a (4) nariadenia EP a Rady (EÚ) </w:t>
      </w:r>
      <w:r w:rsidRPr="00AA7D81">
        <w:rPr>
          <w:rFonts w:eastAsiaTheme="minorHAnsi"/>
        </w:rPr>
        <w:t>č. 1303/2013</w:t>
      </w:r>
      <w:r w:rsidRPr="002832DC">
        <w:rPr>
          <w:rFonts w:eastAsiaTheme="minorHAnsi"/>
        </w:rPr>
        <w:t xml:space="preserve"> </w:t>
      </w:r>
      <w:r w:rsidRPr="00AA7D81">
        <w:rPr>
          <w:rFonts w:eastAsiaTheme="minorHAnsi"/>
        </w:rPr>
        <w:t>a</w:t>
      </w:r>
      <w:r>
        <w:rPr>
          <w:rFonts w:eastAsiaTheme="minorHAnsi"/>
        </w:rPr>
        <w:t> 14 (4)</w:t>
      </w:r>
      <w:r w:rsidRPr="00AA7D81">
        <w:rPr>
          <w:rFonts w:eastAsiaTheme="minorHAnsi"/>
        </w:rPr>
        <w:t xml:space="preserve"> nariadenia</w:t>
      </w:r>
      <w:r>
        <w:rPr>
          <w:rFonts w:eastAsiaTheme="minorHAnsi"/>
        </w:rPr>
        <w:t xml:space="preserve"> EP a Rady (EÚ) </w:t>
      </w:r>
      <w:r>
        <w:rPr>
          <w:rFonts w:eastAsiaTheme="minorHAnsi"/>
        </w:rPr>
        <w:br/>
        <w:t>č. 1299</w:t>
      </w:r>
      <w:r w:rsidRPr="00AA7D81">
        <w:rPr>
          <w:rFonts w:eastAsiaTheme="minorHAnsi"/>
        </w:rPr>
        <w:t>/2013)</w:t>
      </w:r>
      <w:bookmarkEnd w:id="20"/>
      <w:bookmarkEnd w:id="21"/>
    </w:p>
    <w:p w:rsidR="00542440" w:rsidRPr="00AA7D81" w:rsidRDefault="00542440" w:rsidP="00542440">
      <w:pPr>
        <w:pStyle w:val="MPCKO3"/>
        <w:rPr>
          <w:rFonts w:eastAsiaTheme="minorHAnsi"/>
        </w:rPr>
      </w:pPr>
      <w:bookmarkStart w:id="22" w:name="_Toc428367961"/>
      <w:bookmarkStart w:id="23" w:name="_Toc482173552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11. Zhodnotenie </w:t>
      </w:r>
      <w:r>
        <w:rPr>
          <w:rFonts w:eastAsiaTheme="minorHAnsi"/>
        </w:rPr>
        <w:t>vykonávania</w:t>
      </w:r>
      <w:r w:rsidRPr="00AA7D81">
        <w:rPr>
          <w:rFonts w:eastAsiaTheme="minorHAnsi"/>
        </w:rPr>
        <w:t xml:space="preserve"> programu</w:t>
      </w:r>
      <w:bookmarkEnd w:id="22"/>
      <w:bookmarkEnd w:id="23"/>
      <w:r w:rsidR="00B60100">
        <w:rPr>
          <w:rFonts w:eastAsiaTheme="minorHAnsi"/>
        </w:rPr>
        <w:t xml:space="preserve"> </w:t>
      </w:r>
    </w:p>
    <w:p w:rsidR="00542440" w:rsidRPr="00AA7D81" w:rsidRDefault="00542440" w:rsidP="00542440">
      <w:pPr>
        <w:pStyle w:val="MPCKO4"/>
        <w:rPr>
          <w:rFonts w:eastAsiaTheme="minorHAnsi"/>
        </w:rPr>
      </w:pPr>
      <w:bookmarkStart w:id="24" w:name="_Toc428367962"/>
      <w:bookmarkStart w:id="25" w:name="_Toc482173553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11.1 </w:t>
      </w:r>
      <w:r>
        <w:rPr>
          <w:rFonts w:eastAsiaTheme="minorHAnsi"/>
        </w:rPr>
        <w:t>Informácie obsiahnuté v časti A doplnené o zhodnotenie d</w:t>
      </w:r>
      <w:r w:rsidRPr="00AA7D81">
        <w:rPr>
          <w:rFonts w:eastAsiaTheme="minorHAnsi"/>
        </w:rPr>
        <w:t>osah</w:t>
      </w:r>
      <w:r>
        <w:rPr>
          <w:rFonts w:eastAsiaTheme="minorHAnsi"/>
        </w:rPr>
        <w:t>ovania</w:t>
      </w:r>
      <w:r w:rsidRPr="00AA7D81">
        <w:rPr>
          <w:rFonts w:eastAsiaTheme="minorHAnsi"/>
        </w:rPr>
        <w:t xml:space="preserve"> cieľov programu</w:t>
      </w:r>
      <w:bookmarkEnd w:id="24"/>
      <w:bookmarkEnd w:id="25"/>
    </w:p>
    <w:p w:rsidR="00F90012" w:rsidRDefault="00F90012" w:rsidP="00087513">
      <w:pPr>
        <w:spacing w:before="120" w:after="120" w:line="276" w:lineRule="auto"/>
        <w:jc w:val="both"/>
        <w:rPr>
          <w:rFonts w:eastAsiaTheme="minorHAnsi"/>
        </w:rPr>
      </w:pPr>
      <w:r>
        <w:rPr>
          <w:rFonts w:eastAsiaTheme="minorHAnsi"/>
        </w:rPr>
        <w:t>Prioritná os 1</w:t>
      </w:r>
      <w:r w:rsidR="00166E0B">
        <w:rPr>
          <w:rFonts w:eastAsiaTheme="minorHAnsi"/>
        </w:rPr>
        <w:t xml:space="preserve"> - </w:t>
      </w:r>
      <w:r w:rsidR="00166E0B" w:rsidRPr="00166E0B">
        <w:rPr>
          <w:rFonts w:eastAsiaTheme="minorHAnsi"/>
        </w:rPr>
        <w:t>Riadenie, kontrola a audit EŠIF</w:t>
      </w:r>
    </w:p>
    <w:p w:rsidR="00F90012" w:rsidRDefault="00F90012" w:rsidP="00087513">
      <w:pPr>
        <w:spacing w:before="120" w:after="120" w:line="276" w:lineRule="auto"/>
        <w:jc w:val="both"/>
        <w:rPr>
          <w:rFonts w:eastAsiaTheme="minorHAnsi"/>
        </w:rPr>
      </w:pPr>
      <w:r w:rsidRPr="00F90012">
        <w:rPr>
          <w:rFonts w:eastAsiaTheme="minorHAnsi"/>
        </w:rPr>
        <w:t>Špecifický cieľ 1: Zabezpečiť stabilizáciu pracovníkov subjektov zapojených do systému riadenia, kontroly a auditu EŠIF</w:t>
      </w:r>
    </w:p>
    <w:p w:rsidR="00825B67" w:rsidRDefault="00F90012" w:rsidP="00087513">
      <w:pPr>
        <w:jc w:val="both"/>
        <w:rPr>
          <w:rFonts w:eastAsiaTheme="minorHAnsi"/>
        </w:rPr>
      </w:pPr>
      <w:r>
        <w:rPr>
          <w:rFonts w:eastAsiaTheme="minorHAnsi"/>
        </w:rPr>
        <w:t>V rámci nap</w:t>
      </w:r>
      <w:r w:rsidR="00FA20A9">
        <w:rPr>
          <w:rFonts w:eastAsiaTheme="minorHAnsi"/>
        </w:rPr>
        <w:t>ĺ</w:t>
      </w:r>
      <w:r>
        <w:rPr>
          <w:rFonts w:eastAsiaTheme="minorHAnsi"/>
        </w:rPr>
        <w:t xml:space="preserve">ňania </w:t>
      </w:r>
      <w:r w:rsidR="00A60C19">
        <w:rPr>
          <w:rFonts w:eastAsiaTheme="minorHAnsi"/>
        </w:rPr>
        <w:t xml:space="preserve">cieľov </w:t>
      </w:r>
      <w:r w:rsidR="00C72A5A">
        <w:rPr>
          <w:rFonts w:eastAsiaTheme="minorHAnsi"/>
        </w:rPr>
        <w:t>ŠC</w:t>
      </w:r>
      <w:r w:rsidR="00A60C19">
        <w:rPr>
          <w:rFonts w:eastAsiaTheme="minorHAnsi"/>
        </w:rPr>
        <w:t xml:space="preserve"> 1</w:t>
      </w:r>
      <w:r w:rsidR="00823CE9">
        <w:rPr>
          <w:rFonts w:eastAsiaTheme="minorHAnsi"/>
        </w:rPr>
        <w:t xml:space="preserve"> a to najmä pri</w:t>
      </w:r>
      <w:r w:rsidR="00FA20A9">
        <w:rPr>
          <w:rFonts w:eastAsiaTheme="minorHAnsi"/>
        </w:rPr>
        <w:t xml:space="preserve"> </w:t>
      </w:r>
      <w:r w:rsidR="00823CE9">
        <w:rPr>
          <w:rFonts w:eastAsiaTheme="minorHAnsi"/>
        </w:rPr>
        <w:t>zabezpečení stabilizácie</w:t>
      </w:r>
      <w:r w:rsidR="00823CE9" w:rsidRPr="00823CE9">
        <w:rPr>
          <w:rFonts w:eastAsiaTheme="minorHAnsi"/>
        </w:rPr>
        <w:t xml:space="preserve"> pracovníkov zapojených do systé</w:t>
      </w:r>
      <w:r w:rsidR="00330CF8">
        <w:rPr>
          <w:rFonts w:eastAsiaTheme="minorHAnsi"/>
        </w:rPr>
        <w:t>mu riadenia, kontroly a auditu EŠ</w:t>
      </w:r>
      <w:r w:rsidR="00823CE9" w:rsidRPr="00823CE9">
        <w:rPr>
          <w:rFonts w:eastAsiaTheme="minorHAnsi"/>
        </w:rPr>
        <w:t>IF</w:t>
      </w:r>
      <w:r w:rsidR="00823CE9">
        <w:rPr>
          <w:rFonts w:eastAsiaTheme="minorHAnsi"/>
        </w:rPr>
        <w:t xml:space="preserve"> RO OP TP</w:t>
      </w:r>
      <w:r w:rsidR="00330CF8">
        <w:rPr>
          <w:rFonts w:eastAsiaTheme="minorHAnsi"/>
        </w:rPr>
        <w:t xml:space="preserve"> </w:t>
      </w:r>
      <w:r w:rsidR="00150E32">
        <w:rPr>
          <w:rFonts w:eastAsiaTheme="minorHAnsi"/>
        </w:rPr>
        <w:br/>
      </w:r>
      <w:r w:rsidR="00330CF8">
        <w:rPr>
          <w:rFonts w:eastAsiaTheme="minorHAnsi"/>
        </w:rPr>
        <w:t xml:space="preserve">v sledovanom období RO OP TP vyhlásil </w:t>
      </w:r>
      <w:r w:rsidR="00D8745D">
        <w:rPr>
          <w:rFonts w:eastAsiaTheme="minorHAnsi"/>
        </w:rPr>
        <w:t xml:space="preserve">5 </w:t>
      </w:r>
      <w:r w:rsidR="00330CF8">
        <w:rPr>
          <w:rFonts w:eastAsiaTheme="minorHAnsi"/>
        </w:rPr>
        <w:t>vyzvaní</w:t>
      </w:r>
      <w:r w:rsidR="00347236">
        <w:rPr>
          <w:rFonts w:eastAsiaTheme="minorHAnsi"/>
        </w:rPr>
        <w:t>.</w:t>
      </w:r>
    </w:p>
    <w:p w:rsidR="00EE30BF" w:rsidRDefault="00B80B41" w:rsidP="00087513">
      <w:pPr>
        <w:jc w:val="both"/>
        <w:rPr>
          <w:rFonts w:eastAsiaTheme="minorHAnsi"/>
        </w:rPr>
      </w:pPr>
      <w:r>
        <w:rPr>
          <w:rFonts w:eastAsiaTheme="minorHAnsi"/>
        </w:rPr>
        <w:t xml:space="preserve">Realizáciou jednotlivých projektov </w:t>
      </w:r>
      <w:r w:rsidR="006417C5">
        <w:rPr>
          <w:rFonts w:eastAsiaTheme="minorHAnsi"/>
        </w:rPr>
        <w:t>bola zabezpečená intenzívna spolupráca</w:t>
      </w:r>
      <w:r w:rsidR="006417C5" w:rsidRPr="006417C5">
        <w:rPr>
          <w:rFonts w:eastAsiaTheme="minorHAnsi"/>
        </w:rPr>
        <w:t xml:space="preserve"> CKO</w:t>
      </w:r>
      <w:r w:rsidR="00602607">
        <w:rPr>
          <w:rFonts w:eastAsiaTheme="minorHAnsi"/>
        </w:rPr>
        <w:t>, CO, OA, ÚVO, OCKÚ OLAF, PMÚ</w:t>
      </w:r>
      <w:r w:rsidR="006417C5" w:rsidRPr="006417C5">
        <w:rPr>
          <w:rFonts w:eastAsiaTheme="minorHAnsi"/>
        </w:rPr>
        <w:t xml:space="preserve">  s jednotlivými RO, SOR</w:t>
      </w:r>
      <w:r w:rsidR="006417C5">
        <w:rPr>
          <w:rFonts w:eastAsiaTheme="minorHAnsi"/>
        </w:rPr>
        <w:t>O</w:t>
      </w:r>
      <w:r w:rsidR="0094349B">
        <w:rPr>
          <w:rFonts w:eastAsiaTheme="minorHAnsi"/>
        </w:rPr>
        <w:t xml:space="preserve"> a inými,</w:t>
      </w:r>
      <w:r w:rsidR="006417C5">
        <w:rPr>
          <w:rFonts w:eastAsiaTheme="minorHAnsi"/>
        </w:rPr>
        <w:t xml:space="preserve"> čím</w:t>
      </w:r>
      <w:r w:rsidR="006417C5" w:rsidRPr="006417C5">
        <w:rPr>
          <w:rFonts w:eastAsiaTheme="minorHAnsi"/>
        </w:rPr>
        <w:t xml:space="preserve"> </w:t>
      </w:r>
      <w:r w:rsidR="006417C5">
        <w:rPr>
          <w:rFonts w:eastAsiaTheme="minorHAnsi"/>
        </w:rPr>
        <w:t>sa napĺňala</w:t>
      </w:r>
      <w:r w:rsidR="006417C5" w:rsidRPr="006417C5">
        <w:rPr>
          <w:rFonts w:eastAsiaTheme="minorHAnsi"/>
        </w:rPr>
        <w:t xml:space="preserve"> základná mi</w:t>
      </w:r>
      <w:r w:rsidR="00F97063">
        <w:rPr>
          <w:rFonts w:eastAsiaTheme="minorHAnsi"/>
        </w:rPr>
        <w:t>sia celej stratégie riadenia AK.</w:t>
      </w:r>
      <w:r w:rsidR="006417C5">
        <w:rPr>
          <w:rFonts w:eastAsiaTheme="minorHAnsi"/>
        </w:rPr>
        <w:t xml:space="preserve"> Súčasne</w:t>
      </w:r>
      <w:r w:rsidR="00FF4D54">
        <w:rPr>
          <w:rFonts w:eastAsiaTheme="minorHAnsi"/>
        </w:rPr>
        <w:t xml:space="preserve"> sa </w:t>
      </w:r>
      <w:r w:rsidR="00347236">
        <w:rPr>
          <w:rFonts w:eastAsiaTheme="minorHAnsi"/>
        </w:rPr>
        <w:t>začala implementovať</w:t>
      </w:r>
      <w:r w:rsidR="006417C5" w:rsidRPr="006417C5">
        <w:rPr>
          <w:rFonts w:eastAsiaTheme="minorHAnsi"/>
        </w:rPr>
        <w:t xml:space="preserve"> oblasť</w:t>
      </w:r>
      <w:r w:rsidR="00534F99">
        <w:rPr>
          <w:rFonts w:eastAsiaTheme="minorHAnsi"/>
        </w:rPr>
        <w:t xml:space="preserve"> kľúčových oblastí súvisiacich s napĺňaním </w:t>
      </w:r>
      <w:r w:rsidR="00C72A5A">
        <w:rPr>
          <w:rFonts w:eastAsiaTheme="minorHAnsi"/>
        </w:rPr>
        <w:t>ŠC</w:t>
      </w:r>
      <w:r w:rsidR="00534F99">
        <w:rPr>
          <w:rFonts w:eastAsiaTheme="minorHAnsi"/>
        </w:rPr>
        <w:t xml:space="preserve"> 1</w:t>
      </w:r>
      <w:r w:rsidR="006417C5" w:rsidRPr="006417C5">
        <w:rPr>
          <w:rFonts w:eastAsiaTheme="minorHAnsi"/>
        </w:rPr>
        <w:t xml:space="preserve"> </w:t>
      </w:r>
      <w:r w:rsidR="00534F99">
        <w:rPr>
          <w:rFonts w:eastAsiaTheme="minorHAnsi"/>
        </w:rPr>
        <w:t>(napr. metodické usmerňovanie</w:t>
      </w:r>
      <w:r w:rsidR="006417C5" w:rsidRPr="006417C5">
        <w:rPr>
          <w:rFonts w:eastAsiaTheme="minorHAnsi"/>
        </w:rPr>
        <w:t xml:space="preserve"> v oblasti </w:t>
      </w:r>
      <w:r w:rsidR="00EE30BF">
        <w:rPr>
          <w:rFonts w:eastAsiaTheme="minorHAnsi"/>
        </w:rPr>
        <w:t>r</w:t>
      </w:r>
      <w:r w:rsidR="006417C5" w:rsidRPr="006417C5">
        <w:rPr>
          <w:rFonts w:eastAsiaTheme="minorHAnsi"/>
        </w:rPr>
        <w:t>iadenia,</w:t>
      </w:r>
      <w:r w:rsidR="00EE30BF">
        <w:rPr>
          <w:rFonts w:eastAsiaTheme="minorHAnsi"/>
        </w:rPr>
        <w:t xml:space="preserve"> finančného riadenia,</w:t>
      </w:r>
      <w:r w:rsidR="006417C5" w:rsidRPr="006417C5">
        <w:rPr>
          <w:rFonts w:eastAsiaTheme="minorHAnsi"/>
        </w:rPr>
        <w:t xml:space="preserve"> v</w:t>
      </w:r>
      <w:r w:rsidR="00F97063">
        <w:rPr>
          <w:rFonts w:eastAsiaTheme="minorHAnsi"/>
        </w:rPr>
        <w:t>ýkon</w:t>
      </w:r>
      <w:r w:rsidR="00347236">
        <w:rPr>
          <w:rFonts w:eastAsiaTheme="minorHAnsi"/>
        </w:rPr>
        <w:t xml:space="preserve">u </w:t>
      </w:r>
      <w:r w:rsidR="00534F99">
        <w:rPr>
          <w:rFonts w:eastAsiaTheme="minorHAnsi"/>
        </w:rPr>
        <w:t>CO</w:t>
      </w:r>
      <w:r w:rsidR="00347236">
        <w:rPr>
          <w:rFonts w:eastAsiaTheme="minorHAnsi"/>
        </w:rPr>
        <w:t xml:space="preserve">, </w:t>
      </w:r>
      <w:r w:rsidR="00EE30BF" w:rsidRPr="00EE30BF">
        <w:rPr>
          <w:rFonts w:eastAsiaTheme="minorHAnsi"/>
        </w:rPr>
        <w:t xml:space="preserve">kontroly a auditov, účasti na pracovných stretnutiach, </w:t>
      </w:r>
      <w:r w:rsidR="00534F99">
        <w:rPr>
          <w:rFonts w:eastAsiaTheme="minorHAnsi"/>
        </w:rPr>
        <w:t>PC a</w:t>
      </w:r>
      <w:r w:rsidR="00D8745D">
        <w:rPr>
          <w:rFonts w:eastAsiaTheme="minorHAnsi"/>
        </w:rPr>
        <w:t> </w:t>
      </w:r>
      <w:r w:rsidR="00534F99">
        <w:rPr>
          <w:rFonts w:eastAsiaTheme="minorHAnsi"/>
        </w:rPr>
        <w:t>ZPC</w:t>
      </w:r>
      <w:r w:rsidR="00D8745D">
        <w:rPr>
          <w:rFonts w:eastAsiaTheme="minorHAnsi"/>
        </w:rPr>
        <w:t>)</w:t>
      </w:r>
      <w:r w:rsidR="00EE30BF" w:rsidRPr="00EE30BF">
        <w:rPr>
          <w:rFonts w:eastAsiaTheme="minorHAnsi"/>
        </w:rPr>
        <w:t>.</w:t>
      </w:r>
    </w:p>
    <w:p w:rsidR="00A87AEF" w:rsidRDefault="00A87AEF" w:rsidP="00087513">
      <w:pPr>
        <w:jc w:val="both"/>
        <w:rPr>
          <w:rFonts w:eastAsiaTheme="minorHAnsi"/>
        </w:rPr>
      </w:pPr>
      <w:r w:rsidRPr="00A87AEF">
        <w:rPr>
          <w:rFonts w:eastAsiaTheme="minorHAnsi"/>
        </w:rPr>
        <w:t xml:space="preserve">V priebehu roka 2016 úspešne prebiehali aktivity </w:t>
      </w:r>
      <w:r>
        <w:rPr>
          <w:rFonts w:eastAsiaTheme="minorHAnsi"/>
        </w:rPr>
        <w:t>prispievajúce</w:t>
      </w:r>
      <w:r w:rsidRPr="00A87AEF">
        <w:rPr>
          <w:rFonts w:eastAsiaTheme="minorHAnsi"/>
        </w:rPr>
        <w:t xml:space="preserve"> k stabilizá</w:t>
      </w:r>
      <w:r>
        <w:rPr>
          <w:rFonts w:eastAsiaTheme="minorHAnsi"/>
        </w:rPr>
        <w:t>cii a rozvoju</w:t>
      </w:r>
      <w:r w:rsidRPr="00A87AEF">
        <w:rPr>
          <w:rFonts w:eastAsiaTheme="minorHAnsi"/>
        </w:rPr>
        <w:t xml:space="preserve"> kvalifikácie subjektov zapojených do systému riadenia, implementácie, kontroly a auditu EŠIF</w:t>
      </w:r>
      <w:r w:rsidR="00347236">
        <w:rPr>
          <w:rFonts w:eastAsiaTheme="minorHAnsi"/>
        </w:rPr>
        <w:t>.</w:t>
      </w:r>
      <w:r>
        <w:rPr>
          <w:rFonts w:eastAsiaTheme="minorHAnsi"/>
        </w:rPr>
        <w:t xml:space="preserve"> </w:t>
      </w:r>
      <w:r w:rsidR="00347236">
        <w:rPr>
          <w:rFonts w:eastAsiaTheme="minorHAnsi"/>
        </w:rPr>
        <w:t xml:space="preserve">Bol vytvorený </w:t>
      </w:r>
      <w:r w:rsidR="001A78CF">
        <w:rPr>
          <w:rFonts w:eastAsiaTheme="minorHAnsi"/>
        </w:rPr>
        <w:t>C</w:t>
      </w:r>
      <w:r w:rsidRPr="00A87AEF">
        <w:rPr>
          <w:rFonts w:eastAsiaTheme="minorHAnsi"/>
        </w:rPr>
        <w:t>S</w:t>
      </w:r>
      <w:r w:rsidR="001A78CF">
        <w:rPr>
          <w:rFonts w:eastAsiaTheme="minorHAnsi"/>
        </w:rPr>
        <w:t>V</w:t>
      </w:r>
      <w:r w:rsidRPr="00A87AEF">
        <w:rPr>
          <w:rFonts w:eastAsiaTheme="minorHAnsi"/>
        </w:rPr>
        <w:t xml:space="preserve"> AK EŠIF a úspe</w:t>
      </w:r>
      <w:r w:rsidR="00347236">
        <w:rPr>
          <w:rFonts w:eastAsiaTheme="minorHAnsi"/>
        </w:rPr>
        <w:t>šne zavedený do praxe</w:t>
      </w:r>
      <w:r w:rsidR="00EE30BF">
        <w:rPr>
          <w:rFonts w:eastAsiaTheme="minorHAnsi"/>
        </w:rPr>
        <w:t>. V</w:t>
      </w:r>
      <w:r w:rsidR="00347236">
        <w:rPr>
          <w:rFonts w:eastAsiaTheme="minorHAnsi"/>
        </w:rPr>
        <w:t xml:space="preserve"> súčas</w:t>
      </w:r>
      <w:r w:rsidR="0094349B">
        <w:rPr>
          <w:rFonts w:eastAsiaTheme="minorHAnsi"/>
        </w:rPr>
        <w:t xml:space="preserve">nosti poskytuje komplexný </w:t>
      </w:r>
      <w:r w:rsidRPr="00A87AEF">
        <w:rPr>
          <w:rFonts w:eastAsiaTheme="minorHAnsi"/>
        </w:rPr>
        <w:t xml:space="preserve">pohľad na celý proces vzdelávania AK EŠIF, </w:t>
      </w:r>
      <w:r w:rsidR="0094349B">
        <w:rPr>
          <w:rFonts w:eastAsiaTheme="minorHAnsi"/>
        </w:rPr>
        <w:t>pre všetky typy pracovných pozícií</w:t>
      </w:r>
      <w:r>
        <w:rPr>
          <w:rFonts w:eastAsiaTheme="minorHAnsi"/>
        </w:rPr>
        <w:t>.</w:t>
      </w:r>
      <w:r w:rsidR="00347236">
        <w:rPr>
          <w:rFonts w:eastAsiaTheme="minorHAnsi"/>
        </w:rPr>
        <w:t xml:space="preserve"> </w:t>
      </w:r>
      <w:r w:rsidR="001A78CF">
        <w:rPr>
          <w:rFonts w:eastAsiaTheme="minorHAnsi"/>
        </w:rPr>
        <w:t>C</w:t>
      </w:r>
      <w:r w:rsidRPr="00A87AEF">
        <w:rPr>
          <w:rFonts w:eastAsiaTheme="minorHAnsi"/>
        </w:rPr>
        <w:t>S</w:t>
      </w:r>
      <w:r w:rsidR="001A78CF">
        <w:rPr>
          <w:rFonts w:eastAsiaTheme="minorHAnsi"/>
        </w:rPr>
        <w:t>V</w:t>
      </w:r>
      <w:r w:rsidRPr="00A87AEF">
        <w:rPr>
          <w:rFonts w:eastAsiaTheme="minorHAnsi"/>
        </w:rPr>
        <w:t xml:space="preserve"> AK EŠIF, je vo veľkej miere využívaný všetkými zamestnancami</w:t>
      </w:r>
      <w:r w:rsidR="0094349B">
        <w:rPr>
          <w:rFonts w:eastAsiaTheme="minorHAnsi"/>
        </w:rPr>
        <w:t xml:space="preserve"> OAK EŠIF</w:t>
      </w:r>
      <w:r w:rsidR="00EE30BF" w:rsidRPr="00EE30BF">
        <w:rPr>
          <w:rFonts w:eastAsiaTheme="minorHAnsi"/>
        </w:rPr>
        <w:t>,</w:t>
      </w:r>
      <w:r w:rsidR="00EE30BF">
        <w:rPr>
          <w:rFonts w:eastAsiaTheme="minorHAnsi"/>
        </w:rPr>
        <w:t xml:space="preserve"> </w:t>
      </w:r>
      <w:r w:rsidRPr="00A87AEF">
        <w:rPr>
          <w:rFonts w:eastAsiaTheme="minorHAnsi"/>
        </w:rPr>
        <w:t>ako aj kontaktnými osobami na jednotlivých príslušných rezortoch a poskytuje plnohodnotné informácie a podrobný prehľad o prebiehajúcich vzdelávací</w:t>
      </w:r>
      <w:r>
        <w:rPr>
          <w:rFonts w:eastAsiaTheme="minorHAnsi"/>
        </w:rPr>
        <w:t xml:space="preserve">ch aktivitách a ich výsledkoch. </w:t>
      </w:r>
      <w:r w:rsidR="00143E25">
        <w:rPr>
          <w:rFonts w:eastAsiaTheme="minorHAnsi"/>
        </w:rPr>
        <w:t>B</w:t>
      </w:r>
      <w:r w:rsidR="00952936">
        <w:rPr>
          <w:rFonts w:eastAsiaTheme="minorHAnsi"/>
        </w:rPr>
        <w:t xml:space="preserve">oli zrealizované aktivity súvisiace so vzdelávaním (kurzy, konferencie) a pracovnými cestami, </w:t>
      </w:r>
      <w:r w:rsidR="00825B67" w:rsidRPr="00825B67">
        <w:rPr>
          <w:rFonts w:eastAsiaTheme="minorHAnsi"/>
        </w:rPr>
        <w:t xml:space="preserve">s cieľom zlepšenia komunikácie AK voči európskym inštitúciám a partnerom </w:t>
      </w:r>
      <w:r w:rsidR="00A1107E">
        <w:rPr>
          <w:rFonts w:eastAsiaTheme="minorHAnsi"/>
        </w:rPr>
        <w:br/>
      </w:r>
      <w:r w:rsidR="00825B67" w:rsidRPr="00825B67">
        <w:rPr>
          <w:rFonts w:eastAsiaTheme="minorHAnsi"/>
        </w:rPr>
        <w:t>z ďalších členských štátov EÚ.</w:t>
      </w:r>
    </w:p>
    <w:p w:rsidR="00825B67" w:rsidRDefault="00825B67" w:rsidP="00087513">
      <w:pPr>
        <w:jc w:val="both"/>
        <w:rPr>
          <w:rFonts w:eastAsiaTheme="minorHAnsi"/>
        </w:rPr>
      </w:pPr>
      <w:r>
        <w:rPr>
          <w:rFonts w:eastAsiaTheme="minorHAnsi"/>
        </w:rPr>
        <w:t>Činnosti viažuce sa k zavedeniu</w:t>
      </w:r>
      <w:r w:rsidRPr="00825B67">
        <w:rPr>
          <w:rFonts w:eastAsiaTheme="minorHAnsi"/>
        </w:rPr>
        <w:t xml:space="preserve"> transparentného, spravodlivého a motivačného systému hodnotenia, odmeňovania oprávnených prijímateľov OP TP </w:t>
      </w:r>
      <w:r w:rsidR="00534F99">
        <w:rPr>
          <w:rFonts w:eastAsiaTheme="minorHAnsi"/>
        </w:rPr>
        <w:t>zatiaľ</w:t>
      </w:r>
      <w:r>
        <w:rPr>
          <w:rFonts w:eastAsiaTheme="minorHAnsi"/>
        </w:rPr>
        <w:t xml:space="preserve"> neboli v roku 2016 implementované.</w:t>
      </w:r>
    </w:p>
    <w:p w:rsidR="00511A24" w:rsidRDefault="0094349B" w:rsidP="00087513">
      <w:pPr>
        <w:jc w:val="both"/>
        <w:rPr>
          <w:rFonts w:eastAsiaTheme="minorHAnsi"/>
        </w:rPr>
      </w:pPr>
      <w:r>
        <w:rPr>
          <w:rFonts w:eastAsiaTheme="minorHAnsi"/>
        </w:rPr>
        <w:t>Meraná h</w:t>
      </w:r>
      <w:r w:rsidR="00825B67">
        <w:rPr>
          <w:rFonts w:eastAsiaTheme="minorHAnsi"/>
        </w:rPr>
        <w:t xml:space="preserve">odnota </w:t>
      </w:r>
      <w:r>
        <w:rPr>
          <w:rFonts w:eastAsiaTheme="minorHAnsi"/>
        </w:rPr>
        <w:t>UVP</w:t>
      </w:r>
      <w:r w:rsidR="00825B67">
        <w:rPr>
          <w:rFonts w:eastAsiaTheme="minorHAnsi"/>
        </w:rPr>
        <w:t xml:space="preserve"> R0149</w:t>
      </w:r>
      <w:r w:rsidR="004372E7">
        <w:rPr>
          <w:rFonts w:eastAsiaTheme="minorHAnsi"/>
        </w:rPr>
        <w:t xml:space="preserve"> – Miera fluktuácie pracovníkov presiahla</w:t>
      </w:r>
      <w:r w:rsidR="00EE30BF">
        <w:rPr>
          <w:rFonts w:eastAsiaTheme="minorHAnsi"/>
        </w:rPr>
        <w:t xml:space="preserve"> plánovanú</w:t>
      </w:r>
      <w:r w:rsidR="004372E7">
        <w:rPr>
          <w:rFonts w:eastAsiaTheme="minorHAnsi"/>
        </w:rPr>
        <w:t xml:space="preserve"> cieľovú hodnotu. Uvedený stav </w:t>
      </w:r>
      <w:r>
        <w:rPr>
          <w:rFonts w:eastAsiaTheme="minorHAnsi"/>
        </w:rPr>
        <w:t>vy</w:t>
      </w:r>
      <w:r w:rsidR="00D8745D">
        <w:rPr>
          <w:rFonts w:eastAsiaTheme="minorHAnsi"/>
        </w:rPr>
        <w:t>p</w:t>
      </w:r>
      <w:r>
        <w:rPr>
          <w:rFonts w:eastAsiaTheme="minorHAnsi"/>
        </w:rPr>
        <w:t>lýva</w:t>
      </w:r>
      <w:r w:rsidR="004372E7">
        <w:rPr>
          <w:rFonts w:eastAsiaTheme="minorHAnsi"/>
        </w:rPr>
        <w:t xml:space="preserve"> z počiatočného stavu implementácie OP TP, kedy neboli na RO OP TP predložené všetky ŽoNFP od všetkých oprávnených prijímateľov, čím bol</w:t>
      </w:r>
      <w:r w:rsidR="005865B1">
        <w:rPr>
          <w:rFonts w:eastAsiaTheme="minorHAnsi"/>
        </w:rPr>
        <w:t>o</w:t>
      </w:r>
      <w:r w:rsidR="004372E7">
        <w:rPr>
          <w:rFonts w:eastAsiaTheme="minorHAnsi"/>
        </w:rPr>
        <w:t xml:space="preserve"> znemožnené hodnoverné a úplné monitorovanie uvedeného ukazovateľa. RO OP TP </w:t>
      </w:r>
      <w:r w:rsidR="008B6AC7">
        <w:rPr>
          <w:rFonts w:eastAsiaTheme="minorHAnsi"/>
        </w:rPr>
        <w:t>predpokladá</w:t>
      </w:r>
      <w:r w:rsidR="004372E7">
        <w:rPr>
          <w:rFonts w:eastAsiaTheme="minorHAnsi"/>
        </w:rPr>
        <w:t xml:space="preserve">, že v ďalších rokoch bude hodnota ukazovateľa dosahovaná v očakávaných hodnotách. </w:t>
      </w:r>
    </w:p>
    <w:p w:rsidR="00825B67" w:rsidRDefault="003675A3" w:rsidP="00087513">
      <w:pPr>
        <w:jc w:val="both"/>
        <w:rPr>
          <w:rFonts w:eastAsiaTheme="minorHAnsi"/>
        </w:rPr>
      </w:pPr>
      <w:r>
        <w:rPr>
          <w:rFonts w:eastAsiaTheme="minorHAnsi"/>
        </w:rPr>
        <w:t>Ukazovateľ</w:t>
      </w:r>
      <w:r w:rsidR="00974DBE">
        <w:rPr>
          <w:rFonts w:eastAsiaTheme="minorHAnsi"/>
        </w:rPr>
        <w:t xml:space="preserve"> výstupu  </w:t>
      </w:r>
      <w:r w:rsidR="00974DBE" w:rsidRPr="00974DBE">
        <w:rPr>
          <w:rFonts w:eastAsiaTheme="minorHAnsi"/>
        </w:rPr>
        <w:t>O0205</w:t>
      </w:r>
      <w:r w:rsidR="00EE30BF">
        <w:rPr>
          <w:rFonts w:eastAsiaTheme="minorHAnsi"/>
        </w:rPr>
        <w:t xml:space="preserve"> - </w:t>
      </w:r>
      <w:r w:rsidR="00EE30BF" w:rsidRPr="00EE30BF">
        <w:rPr>
          <w:rFonts w:eastAsiaTheme="minorHAnsi"/>
        </w:rPr>
        <w:t>Priemerný počet pracovníkov refundovaných z OP TP</w:t>
      </w:r>
      <w:r w:rsidR="00974DBE">
        <w:rPr>
          <w:rFonts w:eastAsiaTheme="minorHAnsi"/>
        </w:rPr>
        <w:t xml:space="preserve"> dosiahol vzhľadom na počiatočný stav implementácie OP TP adekvátnu hodnotu, nakoľko</w:t>
      </w:r>
      <w:r w:rsidR="00991EE5" w:rsidRPr="00991EE5">
        <w:t xml:space="preserve"> </w:t>
      </w:r>
      <w:r w:rsidR="00991EE5" w:rsidRPr="00991EE5">
        <w:rPr>
          <w:rFonts w:eastAsiaTheme="minorHAnsi"/>
        </w:rPr>
        <w:t>neboli na RO OP TP predložené všetky ŽoNFP od všetkých oprávnených prijímateľov</w:t>
      </w:r>
      <w:r w:rsidR="00991EE5">
        <w:rPr>
          <w:rFonts w:eastAsiaTheme="minorHAnsi"/>
        </w:rPr>
        <w:t>.</w:t>
      </w:r>
      <w:r w:rsidR="00932F0E">
        <w:rPr>
          <w:rFonts w:eastAsiaTheme="minorHAnsi"/>
        </w:rPr>
        <w:t xml:space="preserve"> Plnenie u</w:t>
      </w:r>
      <w:r w:rsidR="00991EE5">
        <w:rPr>
          <w:rFonts w:eastAsiaTheme="minorHAnsi"/>
        </w:rPr>
        <w:t>kazovateľ</w:t>
      </w:r>
      <w:r w:rsidR="00932F0E">
        <w:rPr>
          <w:rFonts w:eastAsiaTheme="minorHAnsi"/>
        </w:rPr>
        <w:t>a</w:t>
      </w:r>
      <w:r w:rsidR="00991EE5">
        <w:rPr>
          <w:rFonts w:eastAsiaTheme="minorHAnsi"/>
        </w:rPr>
        <w:t xml:space="preserve"> </w:t>
      </w:r>
      <w:r w:rsidR="00991EE5" w:rsidRPr="00991EE5">
        <w:rPr>
          <w:rFonts w:eastAsiaTheme="minorHAnsi"/>
        </w:rPr>
        <w:t>O0218</w:t>
      </w:r>
      <w:r w:rsidR="00991EE5">
        <w:rPr>
          <w:rFonts w:eastAsiaTheme="minorHAnsi"/>
        </w:rPr>
        <w:t xml:space="preserve"> </w:t>
      </w:r>
      <w:r w:rsidR="0051350C">
        <w:rPr>
          <w:rFonts w:eastAsiaTheme="minorHAnsi"/>
        </w:rPr>
        <w:t>–</w:t>
      </w:r>
      <w:r w:rsidR="00EE30BF">
        <w:rPr>
          <w:rFonts w:eastAsiaTheme="minorHAnsi"/>
        </w:rPr>
        <w:t xml:space="preserve"> </w:t>
      </w:r>
      <w:r w:rsidR="003626D2" w:rsidRPr="003626D2">
        <w:rPr>
          <w:rFonts w:eastAsiaTheme="minorHAnsi"/>
        </w:rPr>
        <w:t>Počet vyškolených účastníkov v rámci centrálneho systému vzdelávania</w:t>
      </w:r>
      <w:r w:rsidR="009263D7">
        <w:rPr>
          <w:rFonts w:eastAsiaTheme="minorHAnsi"/>
        </w:rPr>
        <w:t xml:space="preserve"> </w:t>
      </w:r>
      <w:r w:rsidR="005439ED">
        <w:rPr>
          <w:rFonts w:eastAsiaTheme="minorHAnsi"/>
        </w:rPr>
        <w:t xml:space="preserve"> presahuje očakávané hodnoty najmä z dôvodu zvýšeného záujmu účastníkov v rámci CSV</w:t>
      </w:r>
      <w:r w:rsidR="00932F0E">
        <w:rPr>
          <w:rFonts w:eastAsiaTheme="minorHAnsi"/>
        </w:rPr>
        <w:t xml:space="preserve"> AK EŠIF</w:t>
      </w:r>
      <w:r w:rsidR="005439ED">
        <w:rPr>
          <w:rFonts w:eastAsiaTheme="minorHAnsi"/>
        </w:rPr>
        <w:t>.</w:t>
      </w:r>
    </w:p>
    <w:p w:rsidR="0051350C" w:rsidRDefault="0051350C" w:rsidP="00087513">
      <w:pPr>
        <w:jc w:val="both"/>
        <w:rPr>
          <w:rFonts w:eastAsiaTheme="minorHAnsi"/>
        </w:rPr>
      </w:pPr>
      <w:r>
        <w:rPr>
          <w:rFonts w:eastAsiaTheme="minorHAnsi"/>
        </w:rPr>
        <w:t>Ukazovateľ O0209</w:t>
      </w:r>
      <w:r w:rsidR="00087513">
        <w:rPr>
          <w:rFonts w:eastAsiaTheme="minorHAnsi"/>
        </w:rPr>
        <w:t xml:space="preserve"> -</w:t>
      </w:r>
      <w:r w:rsidR="003626D2">
        <w:rPr>
          <w:rFonts w:eastAsiaTheme="minorHAnsi"/>
        </w:rPr>
        <w:t xml:space="preserve"> </w:t>
      </w:r>
      <w:r w:rsidR="003626D2" w:rsidRPr="003626D2">
        <w:rPr>
          <w:rFonts w:eastAsiaTheme="minorHAnsi"/>
        </w:rPr>
        <w:t>Počet vyškolených účastníkov špecifických školení a kurzov</w:t>
      </w:r>
      <w:r>
        <w:rPr>
          <w:rFonts w:eastAsiaTheme="minorHAnsi"/>
        </w:rPr>
        <w:t xml:space="preserve"> </w:t>
      </w:r>
      <w:r w:rsidR="00F97063">
        <w:rPr>
          <w:rFonts w:eastAsiaTheme="minorHAnsi"/>
        </w:rPr>
        <w:t>–</w:t>
      </w:r>
      <w:r>
        <w:rPr>
          <w:rFonts w:eastAsiaTheme="minorHAnsi"/>
        </w:rPr>
        <w:t xml:space="preserve"> </w:t>
      </w:r>
      <w:r w:rsidR="00F97063">
        <w:rPr>
          <w:rFonts w:eastAsiaTheme="minorHAnsi"/>
        </w:rPr>
        <w:t>dosiahol</w:t>
      </w:r>
      <w:r w:rsidR="001E0F1B">
        <w:rPr>
          <w:rFonts w:eastAsiaTheme="minorHAnsi"/>
        </w:rPr>
        <w:t>,</w:t>
      </w:r>
      <w:r w:rsidR="00F97063">
        <w:rPr>
          <w:rFonts w:eastAsiaTheme="minorHAnsi"/>
        </w:rPr>
        <w:t xml:space="preserve">  </w:t>
      </w:r>
      <w:r w:rsidR="009263D7">
        <w:rPr>
          <w:rFonts w:eastAsiaTheme="minorHAnsi"/>
        </w:rPr>
        <w:t xml:space="preserve">minimálne </w:t>
      </w:r>
      <w:r w:rsidR="00F97063">
        <w:rPr>
          <w:rFonts w:eastAsiaTheme="minorHAnsi"/>
        </w:rPr>
        <w:t>hodnoty</w:t>
      </w:r>
      <w:r w:rsidR="00932F0E">
        <w:rPr>
          <w:rFonts w:eastAsiaTheme="minorHAnsi"/>
        </w:rPr>
        <w:t xml:space="preserve"> vzhľadom na s</w:t>
      </w:r>
      <w:r w:rsidR="009263D7">
        <w:rPr>
          <w:rFonts w:eastAsiaTheme="minorHAnsi"/>
        </w:rPr>
        <w:t>kutočnosť, že v roku 2016 iba jeden prijímateľ predložil</w:t>
      </w:r>
      <w:r w:rsidR="00932F0E">
        <w:rPr>
          <w:rFonts w:eastAsiaTheme="minorHAnsi"/>
        </w:rPr>
        <w:t xml:space="preserve"> na </w:t>
      </w:r>
      <w:r w:rsidR="00932F0E">
        <w:rPr>
          <w:rFonts w:eastAsiaTheme="minorHAnsi"/>
        </w:rPr>
        <w:lastRenderedPageBreak/>
        <w:t>RO OP TP</w:t>
      </w:r>
      <w:r w:rsidR="009263D7">
        <w:rPr>
          <w:rFonts w:eastAsiaTheme="minorHAnsi"/>
        </w:rPr>
        <w:t xml:space="preserve"> žiadosť o</w:t>
      </w:r>
      <w:r w:rsidR="005439ED">
        <w:rPr>
          <w:rFonts w:eastAsiaTheme="minorHAnsi"/>
        </w:rPr>
        <w:t> </w:t>
      </w:r>
      <w:r w:rsidR="009263D7">
        <w:rPr>
          <w:rFonts w:eastAsiaTheme="minorHAnsi"/>
        </w:rPr>
        <w:t>platbu</w:t>
      </w:r>
      <w:r w:rsidR="005439ED">
        <w:rPr>
          <w:rFonts w:eastAsiaTheme="minorHAnsi"/>
        </w:rPr>
        <w:t xml:space="preserve"> zahŕňajúcu tento typ výdavkov</w:t>
      </w:r>
      <w:r w:rsidR="00F97063">
        <w:rPr>
          <w:rFonts w:eastAsiaTheme="minorHAnsi"/>
        </w:rPr>
        <w:t xml:space="preserve">. V budúcnosti sa očakáva jeho plynulejšie napĺňanie. </w:t>
      </w:r>
    </w:p>
    <w:p w:rsidR="004372E7" w:rsidRDefault="004372E7" w:rsidP="00087513">
      <w:pPr>
        <w:jc w:val="both"/>
        <w:rPr>
          <w:rFonts w:eastAsiaTheme="minorHAnsi"/>
        </w:rPr>
      </w:pPr>
    </w:p>
    <w:p w:rsidR="004372E7" w:rsidRDefault="004372E7" w:rsidP="00087513">
      <w:pPr>
        <w:jc w:val="both"/>
        <w:rPr>
          <w:rFonts w:eastAsiaTheme="minorHAnsi"/>
        </w:rPr>
      </w:pPr>
      <w:r w:rsidRPr="004372E7">
        <w:rPr>
          <w:rFonts w:eastAsiaTheme="minorHAnsi"/>
        </w:rPr>
        <w:t>Špecifický cieľ 2: Zabezpečiť účinné informovanie a</w:t>
      </w:r>
      <w:r w:rsidR="003626D2">
        <w:rPr>
          <w:rFonts w:eastAsiaTheme="minorHAnsi"/>
        </w:rPr>
        <w:t> </w:t>
      </w:r>
      <w:r w:rsidRPr="004372E7">
        <w:rPr>
          <w:rFonts w:eastAsiaTheme="minorHAnsi"/>
        </w:rPr>
        <w:t>publicitu</w:t>
      </w:r>
    </w:p>
    <w:p w:rsidR="003626D2" w:rsidRPr="00330CF8" w:rsidRDefault="003626D2" w:rsidP="00087513">
      <w:pPr>
        <w:jc w:val="both"/>
        <w:rPr>
          <w:rFonts w:eastAsiaTheme="minorHAnsi"/>
        </w:rPr>
      </w:pPr>
    </w:p>
    <w:p w:rsidR="00C55C4C" w:rsidRDefault="000938CF" w:rsidP="00087513">
      <w:pPr>
        <w:spacing w:after="120"/>
        <w:jc w:val="both"/>
        <w:rPr>
          <w:rFonts w:eastAsiaTheme="minorHAnsi"/>
        </w:rPr>
      </w:pPr>
      <w:r>
        <w:rPr>
          <w:rFonts w:eastAsiaTheme="minorHAnsi"/>
        </w:rPr>
        <w:t xml:space="preserve">Špecifický cieľ 2 bol v sledovanom období napĺňaný prostredníctvom aktivít zameraných </w:t>
      </w:r>
      <w:r w:rsidR="00150E32">
        <w:rPr>
          <w:rFonts w:eastAsiaTheme="minorHAnsi"/>
        </w:rPr>
        <w:br/>
      </w:r>
      <w:r>
        <w:rPr>
          <w:rFonts w:eastAsiaTheme="minorHAnsi"/>
        </w:rPr>
        <w:t>na realizáciu komunikačného plánu a zabezpečenia</w:t>
      </w:r>
      <w:r w:rsidRPr="000938CF">
        <w:rPr>
          <w:rFonts w:eastAsiaTheme="minorHAnsi"/>
        </w:rPr>
        <w:t xml:space="preserve"> výmeny informácií na úrovni subjektov zapojených do riadenia, monitorovania, hodnotenia, informovania a</w:t>
      </w:r>
      <w:r w:rsidR="008B6AC7">
        <w:rPr>
          <w:rFonts w:eastAsiaTheme="minorHAnsi"/>
        </w:rPr>
        <w:t> </w:t>
      </w:r>
      <w:r w:rsidRPr="000938CF">
        <w:rPr>
          <w:rFonts w:eastAsiaTheme="minorHAnsi"/>
        </w:rPr>
        <w:t>komunikácie</w:t>
      </w:r>
      <w:r w:rsidR="008B6AC7">
        <w:rPr>
          <w:rFonts w:eastAsiaTheme="minorHAnsi"/>
        </w:rPr>
        <w:t>,</w:t>
      </w:r>
      <w:r w:rsidRPr="000938CF">
        <w:rPr>
          <w:rFonts w:eastAsiaTheme="minorHAnsi"/>
        </w:rPr>
        <w:t xml:space="preserve"> kontroly a auditu EŠIF</w:t>
      </w:r>
      <w:r>
        <w:rPr>
          <w:rFonts w:eastAsiaTheme="minorHAnsi"/>
        </w:rPr>
        <w:t>.</w:t>
      </w:r>
      <w:r w:rsidR="00D8745D" w:rsidRPr="00D8745D">
        <w:t xml:space="preserve"> </w:t>
      </w:r>
      <w:r w:rsidR="00D8745D" w:rsidRPr="00D8745D">
        <w:rPr>
          <w:rFonts w:eastAsiaTheme="minorHAnsi"/>
        </w:rPr>
        <w:t>V rámci napĺňania cieľov ŠC 2 vyhlásil RO OP TP 1 vyzvanie.</w:t>
      </w:r>
      <w:r>
        <w:rPr>
          <w:rFonts w:eastAsiaTheme="minorHAnsi"/>
        </w:rPr>
        <w:t xml:space="preserve"> Prostredníctvom </w:t>
      </w:r>
      <w:r w:rsidR="009021C3">
        <w:rPr>
          <w:rFonts w:eastAsiaTheme="minorHAnsi"/>
        </w:rPr>
        <w:t>implementácie</w:t>
      </w:r>
      <w:r>
        <w:rPr>
          <w:rFonts w:eastAsiaTheme="minorHAnsi"/>
        </w:rPr>
        <w:t xml:space="preserve"> projektov sa </w:t>
      </w:r>
      <w:r w:rsidR="00386DF9">
        <w:rPr>
          <w:rFonts w:eastAsiaTheme="minorHAnsi"/>
        </w:rPr>
        <w:t>uskutočnili činností vychádzajúce</w:t>
      </w:r>
      <w:r>
        <w:rPr>
          <w:rFonts w:eastAsiaTheme="minorHAnsi"/>
        </w:rPr>
        <w:t xml:space="preserve"> z </w:t>
      </w:r>
      <w:r w:rsidR="00386DF9">
        <w:rPr>
          <w:rFonts w:eastAsiaTheme="minorHAnsi"/>
        </w:rPr>
        <w:t xml:space="preserve"> RKP 2016</w:t>
      </w:r>
      <w:r>
        <w:rPr>
          <w:rFonts w:eastAsiaTheme="minorHAnsi"/>
        </w:rPr>
        <w:t xml:space="preserve">, ktorý </w:t>
      </w:r>
      <w:r w:rsidRPr="000938CF">
        <w:rPr>
          <w:rFonts w:eastAsiaTheme="minorHAnsi"/>
        </w:rPr>
        <w:t>predstavuje</w:t>
      </w:r>
      <w:r w:rsidR="003626D2" w:rsidRPr="003626D2">
        <w:t xml:space="preserve"> </w:t>
      </w:r>
      <w:r w:rsidR="003626D2">
        <w:rPr>
          <w:rFonts w:eastAsiaTheme="minorHAnsi"/>
        </w:rPr>
        <w:t xml:space="preserve">základ pre proces informovania </w:t>
      </w:r>
      <w:r w:rsidR="003626D2" w:rsidRPr="003626D2">
        <w:rPr>
          <w:rFonts w:eastAsiaTheme="minorHAnsi"/>
        </w:rPr>
        <w:t xml:space="preserve">a komunikácie o poskytnutí prostriedkov z EŠIF,  tiež  tvorí základný predpoklad na dosiahnutie cieľov komunikačnej stratégie OP TP pre </w:t>
      </w:r>
      <w:r w:rsidR="00386DF9">
        <w:rPr>
          <w:rFonts w:eastAsiaTheme="minorHAnsi"/>
        </w:rPr>
        <w:t>PD</w:t>
      </w:r>
      <w:r w:rsidRPr="000938CF">
        <w:rPr>
          <w:rFonts w:eastAsiaTheme="minorHAnsi"/>
        </w:rPr>
        <w:t>.</w:t>
      </w:r>
      <w:r w:rsidR="009021C3">
        <w:rPr>
          <w:rFonts w:eastAsiaTheme="minorHAnsi"/>
        </w:rPr>
        <w:t xml:space="preserve"> Zrealizovali sa na</w:t>
      </w:r>
      <w:r w:rsidR="008B6AC7">
        <w:rPr>
          <w:rFonts w:eastAsiaTheme="minorHAnsi"/>
        </w:rPr>
        <w:t>pr.</w:t>
      </w:r>
      <w:r w:rsidR="009021C3">
        <w:rPr>
          <w:rFonts w:eastAsiaTheme="minorHAnsi"/>
        </w:rPr>
        <w:t xml:space="preserve"> tieto aktivity: </w:t>
      </w:r>
      <w:r w:rsidR="009021C3" w:rsidRPr="009021C3">
        <w:rPr>
          <w:rFonts w:eastAsiaTheme="minorHAnsi"/>
        </w:rPr>
        <w:t>Roadshow 2016</w:t>
      </w:r>
      <w:r w:rsidR="009021C3">
        <w:rPr>
          <w:rFonts w:eastAsiaTheme="minorHAnsi"/>
        </w:rPr>
        <w:t xml:space="preserve">, </w:t>
      </w:r>
      <w:r w:rsidR="009021C3" w:rsidRPr="009021C3">
        <w:rPr>
          <w:rFonts w:eastAsiaTheme="minorHAnsi"/>
        </w:rPr>
        <w:t>Deň Európy</w:t>
      </w:r>
      <w:r w:rsidR="009021C3">
        <w:rPr>
          <w:rFonts w:eastAsiaTheme="minorHAnsi"/>
        </w:rPr>
        <w:t xml:space="preserve">, súťaž </w:t>
      </w:r>
      <w:r w:rsidR="009021C3" w:rsidRPr="009021C3">
        <w:rPr>
          <w:rFonts w:eastAsiaTheme="minorHAnsi"/>
        </w:rPr>
        <w:t>Mladý Európan 2016</w:t>
      </w:r>
      <w:r w:rsidR="008B6AC7">
        <w:rPr>
          <w:rFonts w:eastAsiaTheme="minorHAnsi"/>
        </w:rPr>
        <w:t>.</w:t>
      </w:r>
      <w:r w:rsidR="009021C3">
        <w:rPr>
          <w:rFonts w:eastAsiaTheme="minorHAnsi"/>
        </w:rPr>
        <w:t xml:space="preserve"> </w:t>
      </w:r>
      <w:r w:rsidR="008B6AC7">
        <w:rPr>
          <w:rFonts w:eastAsiaTheme="minorHAnsi"/>
        </w:rPr>
        <w:t>D</w:t>
      </w:r>
      <w:r w:rsidR="009021C3">
        <w:rPr>
          <w:rFonts w:eastAsiaTheme="minorHAnsi"/>
        </w:rPr>
        <w:t xml:space="preserve">vakrát zasadala </w:t>
      </w:r>
      <w:r w:rsidR="00386DF9">
        <w:rPr>
          <w:rFonts w:eastAsiaTheme="minorHAnsi"/>
        </w:rPr>
        <w:t>PS</w:t>
      </w:r>
      <w:r w:rsidR="009021C3" w:rsidRPr="009021C3">
        <w:rPr>
          <w:rFonts w:eastAsiaTheme="minorHAnsi"/>
        </w:rPr>
        <w:t xml:space="preserve"> pre informovanie a</w:t>
      </w:r>
      <w:r w:rsidR="009021C3">
        <w:rPr>
          <w:rFonts w:eastAsiaTheme="minorHAnsi"/>
        </w:rPr>
        <w:t> </w:t>
      </w:r>
      <w:r w:rsidR="009021C3" w:rsidRPr="009021C3">
        <w:rPr>
          <w:rFonts w:eastAsiaTheme="minorHAnsi"/>
        </w:rPr>
        <w:t>komunikáciu</w:t>
      </w:r>
      <w:r w:rsidR="009021C3">
        <w:rPr>
          <w:rFonts w:eastAsiaTheme="minorHAnsi"/>
        </w:rPr>
        <w:t>.</w:t>
      </w:r>
      <w:r w:rsidR="009021C3" w:rsidRPr="009021C3">
        <w:t xml:space="preserve"> </w:t>
      </w:r>
      <w:r w:rsidR="009021C3" w:rsidRPr="009021C3">
        <w:rPr>
          <w:rFonts w:eastAsiaTheme="minorHAnsi"/>
        </w:rPr>
        <w:t>Do konca roka 2016 boli vydané 4 čísla časopisu Eurokompas. V rámci informačných materiálov</w:t>
      </w:r>
      <w:r w:rsidR="00143E25">
        <w:rPr>
          <w:rFonts w:eastAsiaTheme="minorHAnsi"/>
        </w:rPr>
        <w:t xml:space="preserve"> pre verejnosť bol vydaný leták „Hodnotenie“</w:t>
      </w:r>
      <w:r w:rsidR="009021C3">
        <w:rPr>
          <w:rFonts w:eastAsiaTheme="minorHAnsi"/>
        </w:rPr>
        <w:t xml:space="preserve">. Okrem </w:t>
      </w:r>
      <w:r w:rsidR="008D7C38">
        <w:rPr>
          <w:rFonts w:eastAsiaTheme="minorHAnsi"/>
        </w:rPr>
        <w:t>spomínaných aktiv</w:t>
      </w:r>
      <w:r w:rsidR="009021C3">
        <w:rPr>
          <w:rFonts w:eastAsiaTheme="minorHAnsi"/>
        </w:rPr>
        <w:t>ít sa</w:t>
      </w:r>
      <w:r w:rsidR="008D7C38">
        <w:rPr>
          <w:rFonts w:eastAsiaTheme="minorHAnsi"/>
        </w:rPr>
        <w:t xml:space="preserve"> uskutočnili aj mediálne kampane </w:t>
      </w:r>
      <w:r w:rsidR="008D7C38" w:rsidRPr="008D7C38">
        <w:rPr>
          <w:rFonts w:eastAsiaTheme="minorHAnsi"/>
        </w:rPr>
        <w:t>Ako pomoh</w:t>
      </w:r>
      <w:r w:rsidR="008D7C38">
        <w:rPr>
          <w:rFonts w:eastAsiaTheme="minorHAnsi"/>
        </w:rPr>
        <w:t xml:space="preserve">li eurofondy môjmu regiónu 2016, </w:t>
      </w:r>
      <w:r w:rsidR="008D7C38" w:rsidRPr="008D7C38">
        <w:rPr>
          <w:rFonts w:eastAsiaTheme="minorHAnsi"/>
        </w:rPr>
        <w:t xml:space="preserve">Realizácia úvodnej mediálnej kampane v rámci komunikačnej stratégie OP TP pre </w:t>
      </w:r>
      <w:r w:rsidR="00143E25">
        <w:rPr>
          <w:rFonts w:eastAsiaTheme="minorHAnsi"/>
        </w:rPr>
        <w:t>PD</w:t>
      </w:r>
      <w:r w:rsidR="008D7C38">
        <w:rPr>
          <w:rFonts w:eastAsiaTheme="minorHAnsi"/>
        </w:rPr>
        <w:t xml:space="preserve"> a </w:t>
      </w:r>
      <w:r w:rsidR="008D7C38" w:rsidRPr="008D7C38">
        <w:rPr>
          <w:rFonts w:eastAsiaTheme="minorHAnsi"/>
        </w:rPr>
        <w:t xml:space="preserve">Realizácia úvodnej mediálnej kampane v rámci komunikačnej stratégie OP TP pre </w:t>
      </w:r>
      <w:r w:rsidR="00143E25">
        <w:rPr>
          <w:rFonts w:eastAsiaTheme="minorHAnsi"/>
        </w:rPr>
        <w:t>PD</w:t>
      </w:r>
      <w:r w:rsidR="008D7C38" w:rsidRPr="008D7C38">
        <w:rPr>
          <w:rFonts w:eastAsiaTheme="minorHAnsi"/>
        </w:rPr>
        <w:t>, časť II.</w:t>
      </w:r>
      <w:r w:rsidR="008D7C38">
        <w:rPr>
          <w:rFonts w:eastAsiaTheme="minorHAnsi"/>
        </w:rPr>
        <w:t xml:space="preserve"> </w:t>
      </w:r>
      <w:r w:rsidR="003626D2" w:rsidRPr="003626D2">
        <w:rPr>
          <w:rFonts w:eastAsiaTheme="minorHAnsi"/>
        </w:rPr>
        <w:t>Všetky spomínané aktivity prispeli k informovaniu širokej verejnosti a zaisteniu publicity a znalostí prijím</w:t>
      </w:r>
      <w:r w:rsidR="003626D2">
        <w:rPr>
          <w:rFonts w:eastAsiaTheme="minorHAnsi"/>
        </w:rPr>
        <w:t>ateľov o príslušných RO a SO</w:t>
      </w:r>
      <w:r w:rsidR="003626D2" w:rsidRPr="003626D2">
        <w:rPr>
          <w:rFonts w:eastAsiaTheme="minorHAnsi"/>
        </w:rPr>
        <w:t xml:space="preserve">, pričom sa zvýšil pozitívny prístup k vnímaniu EŠIF. V priebehu roku 2016 začali prípravy regionálnej informačnej kampane, </w:t>
      </w:r>
      <w:r w:rsidR="00C55C4C">
        <w:rPr>
          <w:rFonts w:eastAsiaTheme="minorHAnsi"/>
        </w:rPr>
        <w:t xml:space="preserve">pre účely </w:t>
      </w:r>
      <w:r w:rsidR="003626D2" w:rsidRPr="003626D2">
        <w:rPr>
          <w:rFonts w:eastAsiaTheme="minorHAnsi"/>
        </w:rPr>
        <w:t>informovan</w:t>
      </w:r>
      <w:r w:rsidR="00C55C4C">
        <w:rPr>
          <w:rFonts w:eastAsiaTheme="minorHAnsi"/>
        </w:rPr>
        <w:t>ia</w:t>
      </w:r>
      <w:r w:rsidR="003626D2" w:rsidRPr="003626D2">
        <w:rPr>
          <w:rFonts w:eastAsiaTheme="minorHAnsi"/>
        </w:rPr>
        <w:t xml:space="preserve"> širokej verejnosti</w:t>
      </w:r>
      <w:r w:rsidR="00C55C4C">
        <w:rPr>
          <w:rFonts w:eastAsiaTheme="minorHAnsi"/>
        </w:rPr>
        <w:t>.</w:t>
      </w:r>
    </w:p>
    <w:p w:rsidR="008D7C38" w:rsidRDefault="003626D2" w:rsidP="00087513">
      <w:pPr>
        <w:spacing w:after="120"/>
        <w:jc w:val="both"/>
        <w:rPr>
          <w:rFonts w:eastAsiaTheme="minorHAnsi"/>
        </w:rPr>
      </w:pPr>
      <w:r w:rsidRPr="003626D2">
        <w:rPr>
          <w:rFonts w:eastAsiaTheme="minorHAnsi"/>
        </w:rPr>
        <w:t xml:space="preserve"> </w:t>
      </w:r>
      <w:r w:rsidR="008D7C38">
        <w:rPr>
          <w:rFonts w:eastAsiaTheme="minorHAnsi"/>
        </w:rPr>
        <w:t>Hodnoty merateľného ukazovateľa R0150 - m</w:t>
      </w:r>
      <w:r w:rsidR="008D7C38" w:rsidRPr="008D7C38">
        <w:rPr>
          <w:rFonts w:eastAsiaTheme="minorHAnsi"/>
        </w:rPr>
        <w:t>iera informovanosti o možnostiach podpory z</w:t>
      </w:r>
      <w:r w:rsidR="008D7C38">
        <w:rPr>
          <w:rFonts w:eastAsiaTheme="minorHAnsi"/>
        </w:rPr>
        <w:t> </w:t>
      </w:r>
      <w:r w:rsidR="008D7C38" w:rsidRPr="008D7C38">
        <w:rPr>
          <w:rFonts w:eastAsiaTheme="minorHAnsi"/>
        </w:rPr>
        <w:t>EŠIF</w:t>
      </w:r>
      <w:r w:rsidR="008D7C38">
        <w:rPr>
          <w:rFonts w:eastAsiaTheme="minorHAnsi"/>
        </w:rPr>
        <w:t xml:space="preserve"> neboli v sledovanom období merané, nakoľko</w:t>
      </w:r>
      <w:r w:rsidR="00322FC6">
        <w:rPr>
          <w:rFonts w:eastAsiaTheme="minorHAnsi"/>
        </w:rPr>
        <w:t xml:space="preserve"> v zmysle Ročného komunikačného plánu na rok 2016 sa údaje poskytujú k 31.</w:t>
      </w:r>
      <w:r w:rsidR="00DE567C">
        <w:rPr>
          <w:rFonts w:eastAsiaTheme="minorHAnsi"/>
        </w:rPr>
        <w:t xml:space="preserve"> </w:t>
      </w:r>
      <w:r w:rsidR="00322FC6">
        <w:rPr>
          <w:rFonts w:eastAsiaTheme="minorHAnsi"/>
        </w:rPr>
        <w:t>12.</w:t>
      </w:r>
      <w:r w:rsidR="00DE567C">
        <w:rPr>
          <w:rFonts w:eastAsiaTheme="minorHAnsi"/>
        </w:rPr>
        <w:t xml:space="preserve"> </w:t>
      </w:r>
      <w:r w:rsidR="00322FC6">
        <w:rPr>
          <w:rFonts w:eastAsiaTheme="minorHAnsi"/>
        </w:rPr>
        <w:t xml:space="preserve">2017.  </w:t>
      </w:r>
    </w:p>
    <w:p w:rsidR="00322FC6" w:rsidRPr="00087513" w:rsidRDefault="00322FC6" w:rsidP="00087513">
      <w:pPr>
        <w:spacing w:after="120"/>
        <w:jc w:val="both"/>
        <w:rPr>
          <w:rFonts w:eastAsiaTheme="minorHAnsi"/>
        </w:rPr>
      </w:pPr>
      <w:r>
        <w:rPr>
          <w:rFonts w:eastAsiaTheme="minorHAnsi"/>
        </w:rPr>
        <w:t xml:space="preserve">Hodnoty merateľného ukazovateľa výstupu O0206 - </w:t>
      </w:r>
      <w:r w:rsidRPr="00322FC6">
        <w:rPr>
          <w:rFonts w:eastAsiaTheme="minorHAnsi"/>
        </w:rPr>
        <w:t>Počet zrealizovaných informačných kampaní</w:t>
      </w:r>
      <w:r>
        <w:rPr>
          <w:rFonts w:eastAsiaTheme="minorHAnsi"/>
        </w:rPr>
        <w:t xml:space="preserve"> dosiahol hodnotu 1, čím sa zároveň dosiahla aj plánovaná hodnota v zmysle </w:t>
      </w:r>
      <w:r w:rsidR="003675A3">
        <w:rPr>
          <w:rFonts w:eastAsiaTheme="minorHAnsi"/>
        </w:rPr>
        <w:t>RKP</w:t>
      </w:r>
      <w:r>
        <w:rPr>
          <w:rFonts w:eastAsiaTheme="minorHAnsi"/>
        </w:rPr>
        <w:t xml:space="preserve"> 2016. V rámci ukazovateľa O0207 - </w:t>
      </w:r>
      <w:r w:rsidRPr="00322FC6">
        <w:rPr>
          <w:rFonts w:eastAsiaTheme="minorHAnsi"/>
        </w:rPr>
        <w:t xml:space="preserve">Počet zrealizovaných informačných aktivít </w:t>
      </w:r>
      <w:r w:rsidR="00732E7E">
        <w:rPr>
          <w:rFonts w:eastAsiaTheme="minorHAnsi"/>
        </w:rPr>
        <w:t>boli</w:t>
      </w:r>
      <w:r w:rsidR="009263D7">
        <w:rPr>
          <w:rFonts w:eastAsiaTheme="minorHAnsi"/>
        </w:rPr>
        <w:t xml:space="preserve"> dosiahnuté</w:t>
      </w:r>
      <w:r w:rsidR="00732E7E">
        <w:rPr>
          <w:rFonts w:eastAsiaTheme="minorHAnsi"/>
        </w:rPr>
        <w:t xml:space="preserve"> hodnoty </w:t>
      </w:r>
      <w:r w:rsidR="001E0F1B">
        <w:rPr>
          <w:rFonts w:eastAsiaTheme="minorHAnsi"/>
        </w:rPr>
        <w:t>adekvátne</w:t>
      </w:r>
      <w:r w:rsidR="009263D7">
        <w:rPr>
          <w:rFonts w:eastAsiaTheme="minorHAnsi"/>
        </w:rPr>
        <w:t>,</w:t>
      </w:r>
      <w:r>
        <w:rPr>
          <w:rFonts w:eastAsiaTheme="minorHAnsi"/>
        </w:rPr>
        <w:t xml:space="preserve"> </w:t>
      </w:r>
      <w:r w:rsidR="009263D7">
        <w:rPr>
          <w:rFonts w:eastAsiaTheme="minorHAnsi"/>
        </w:rPr>
        <w:t>vzhľadom na aktivity definované</w:t>
      </w:r>
      <w:r>
        <w:rPr>
          <w:rFonts w:eastAsiaTheme="minorHAnsi"/>
        </w:rPr>
        <w:t xml:space="preserve">. </w:t>
      </w:r>
      <w:r w:rsidR="009263D7">
        <w:rPr>
          <w:rFonts w:eastAsiaTheme="minorHAnsi"/>
        </w:rPr>
        <w:t xml:space="preserve">v </w:t>
      </w:r>
      <w:r w:rsidR="001A1649">
        <w:rPr>
          <w:rFonts w:eastAsiaTheme="minorHAnsi"/>
        </w:rPr>
        <w:t>Komu</w:t>
      </w:r>
      <w:r>
        <w:rPr>
          <w:rFonts w:eastAsiaTheme="minorHAnsi"/>
        </w:rPr>
        <w:t>nikačn</w:t>
      </w:r>
      <w:r w:rsidR="009263D7">
        <w:rPr>
          <w:rFonts w:eastAsiaTheme="minorHAnsi"/>
        </w:rPr>
        <w:t>ej</w:t>
      </w:r>
      <w:r>
        <w:rPr>
          <w:rFonts w:eastAsiaTheme="minorHAnsi"/>
        </w:rPr>
        <w:t xml:space="preserve"> stratégi</w:t>
      </w:r>
      <w:r w:rsidR="009263D7">
        <w:rPr>
          <w:rFonts w:eastAsiaTheme="minorHAnsi"/>
        </w:rPr>
        <w:t>í</w:t>
      </w:r>
      <w:r w:rsidR="001A1649">
        <w:rPr>
          <w:rFonts w:eastAsiaTheme="minorHAnsi"/>
        </w:rPr>
        <w:t xml:space="preserve"> OP TP</w:t>
      </w:r>
      <w:r w:rsidR="009263D7">
        <w:rPr>
          <w:rFonts w:eastAsiaTheme="minorHAnsi"/>
        </w:rPr>
        <w:t xml:space="preserve"> pre </w:t>
      </w:r>
      <w:r w:rsidR="007E612F">
        <w:rPr>
          <w:rFonts w:eastAsiaTheme="minorHAnsi"/>
        </w:rPr>
        <w:t>PD</w:t>
      </w:r>
      <w:r w:rsidR="009263D7">
        <w:rPr>
          <w:rFonts w:eastAsiaTheme="minorHAnsi"/>
        </w:rPr>
        <w:t xml:space="preserve">, ktorá </w:t>
      </w:r>
      <w:r w:rsidR="00732E7E">
        <w:rPr>
          <w:rFonts w:eastAsiaTheme="minorHAnsi"/>
        </w:rPr>
        <w:t>je</w:t>
      </w:r>
      <w:r>
        <w:rPr>
          <w:rFonts w:eastAsiaTheme="minorHAnsi"/>
        </w:rPr>
        <w:t xml:space="preserve"> </w:t>
      </w:r>
      <w:r w:rsidR="001A1649">
        <w:rPr>
          <w:rFonts w:eastAsiaTheme="minorHAnsi"/>
        </w:rPr>
        <w:t xml:space="preserve">nastavená </w:t>
      </w:r>
      <w:r w:rsidR="00732E7E">
        <w:rPr>
          <w:rFonts w:eastAsiaTheme="minorHAnsi"/>
        </w:rPr>
        <w:t>adekvátne</w:t>
      </w:r>
      <w:r w:rsidR="001A1649">
        <w:rPr>
          <w:rFonts w:eastAsiaTheme="minorHAnsi"/>
        </w:rPr>
        <w:t xml:space="preserve"> a implementácia tohto </w:t>
      </w:r>
      <w:r w:rsidR="00C72A5A">
        <w:rPr>
          <w:rFonts w:eastAsiaTheme="minorHAnsi"/>
        </w:rPr>
        <w:t>ŠC</w:t>
      </w:r>
      <w:r w:rsidR="001A1649">
        <w:rPr>
          <w:rFonts w:eastAsiaTheme="minorHAnsi"/>
        </w:rPr>
        <w:t xml:space="preserve"> je na požadovanej úrovni. </w:t>
      </w:r>
    </w:p>
    <w:p w:rsidR="00D9119D" w:rsidRPr="00087513" w:rsidRDefault="008D7C38" w:rsidP="00087513">
      <w:pPr>
        <w:spacing w:after="120"/>
        <w:jc w:val="both"/>
        <w:rPr>
          <w:rFonts w:eastAsiaTheme="minorHAnsi"/>
        </w:rPr>
      </w:pPr>
      <w:r w:rsidRPr="00087513">
        <w:rPr>
          <w:rFonts w:eastAsiaTheme="minorHAnsi"/>
        </w:rPr>
        <w:t>Špecifický cieľ 3: Implementovať správny a transparentný systém riadenia, kontroly a auditu EŠIF</w:t>
      </w:r>
    </w:p>
    <w:p w:rsidR="00D9119D" w:rsidRPr="00087513" w:rsidRDefault="00B917F1" w:rsidP="00087513">
      <w:pPr>
        <w:spacing w:after="120"/>
        <w:jc w:val="both"/>
        <w:rPr>
          <w:rFonts w:eastAsiaTheme="minorHAnsi"/>
        </w:rPr>
      </w:pPr>
      <w:r w:rsidRPr="00087513">
        <w:rPr>
          <w:rFonts w:eastAsiaTheme="minorHAnsi"/>
        </w:rPr>
        <w:t xml:space="preserve">Implementáciou príslušných projektov </w:t>
      </w:r>
      <w:r w:rsidR="00C72A5A">
        <w:rPr>
          <w:rFonts w:eastAsiaTheme="minorHAnsi"/>
        </w:rPr>
        <w:t>ŠC</w:t>
      </w:r>
      <w:r w:rsidRPr="00087513">
        <w:rPr>
          <w:rFonts w:eastAsiaTheme="minorHAnsi"/>
        </w:rPr>
        <w:t xml:space="preserve"> 3 sa predpokladá zvýšenie kvality a efektívnosti riadenia EŠIF, zlepšenie výsledkov implementácie EŠIF a OP TP, vyššia plynulosť čerpania EŠIF počas celého PO, kvalita a efektívnosť finančného riadenia, kontroly a auditu EŠIF </w:t>
      </w:r>
      <w:r w:rsidR="00A1107E">
        <w:rPr>
          <w:rFonts w:eastAsiaTheme="minorHAnsi"/>
        </w:rPr>
        <w:br/>
      </w:r>
      <w:r w:rsidRPr="00087513">
        <w:rPr>
          <w:rFonts w:eastAsiaTheme="minorHAnsi"/>
        </w:rPr>
        <w:t xml:space="preserve">a vypracovanie strategických, analytických a koncepčných dokumentov na využívanie finančných prostriedkov v rámci politiky súdržnosti EÚ na PO po roku 2020. </w:t>
      </w:r>
      <w:r w:rsidR="00D8745D" w:rsidRPr="00D8745D">
        <w:rPr>
          <w:rFonts w:eastAsiaTheme="minorHAnsi"/>
        </w:rPr>
        <w:t>V rámci napĺňania cieľov ŠC 3 vyhlásil RO OP TP 3 vyzvania.</w:t>
      </w:r>
    </w:p>
    <w:p w:rsidR="00710D36" w:rsidRPr="00087513" w:rsidRDefault="0082296E" w:rsidP="00087513">
      <w:pPr>
        <w:spacing w:after="120"/>
        <w:jc w:val="both"/>
        <w:rPr>
          <w:rFonts w:eastAsiaTheme="minorHAnsi"/>
        </w:rPr>
      </w:pPr>
      <w:r w:rsidRPr="00087513">
        <w:rPr>
          <w:rFonts w:eastAsiaTheme="minorHAnsi"/>
        </w:rPr>
        <w:t>V rámci podpory</w:t>
      </w:r>
      <w:r w:rsidR="00710D36" w:rsidRPr="00087513">
        <w:rPr>
          <w:rFonts w:eastAsiaTheme="minorHAnsi"/>
        </w:rPr>
        <w:t xml:space="preserve"> aktivít monitorovania, hodnotenia a riadenia programov a projektov </w:t>
      </w:r>
      <w:r w:rsidRPr="00087513">
        <w:rPr>
          <w:rFonts w:eastAsiaTheme="minorHAnsi"/>
        </w:rPr>
        <w:t>boli zrealizované činnosti spojené s</w:t>
      </w:r>
      <w:r w:rsidR="003626D2" w:rsidRPr="00087513">
        <w:rPr>
          <w:rFonts w:eastAsiaTheme="minorHAnsi"/>
        </w:rPr>
        <w:t xml:space="preserve"> prípravou </w:t>
      </w:r>
      <w:r w:rsidRPr="00087513">
        <w:rPr>
          <w:rFonts w:eastAsiaTheme="minorHAnsi"/>
        </w:rPr>
        <w:t>legisl</w:t>
      </w:r>
      <w:r w:rsidR="00386DF9">
        <w:rPr>
          <w:rFonts w:eastAsiaTheme="minorHAnsi"/>
        </w:rPr>
        <w:t xml:space="preserve">atívy, </w:t>
      </w:r>
      <w:r w:rsidR="003626D2" w:rsidRPr="00087513">
        <w:rPr>
          <w:rFonts w:eastAsiaTheme="minorHAnsi"/>
        </w:rPr>
        <w:t>a</w:t>
      </w:r>
      <w:r w:rsidRPr="00087513">
        <w:rPr>
          <w:rFonts w:eastAsiaTheme="minorHAnsi"/>
        </w:rPr>
        <w:t>nalýz</w:t>
      </w:r>
      <w:r w:rsidR="00710D36" w:rsidRPr="00087513">
        <w:rPr>
          <w:rFonts w:eastAsiaTheme="minorHAnsi"/>
        </w:rPr>
        <w:t>, </w:t>
      </w:r>
      <w:r w:rsidRPr="00087513">
        <w:rPr>
          <w:rFonts w:eastAsiaTheme="minorHAnsi"/>
        </w:rPr>
        <w:t>prehľadov</w:t>
      </w:r>
      <w:r w:rsidR="003626D2" w:rsidRPr="00087513">
        <w:rPr>
          <w:rFonts w:eastAsiaTheme="minorHAnsi"/>
        </w:rPr>
        <w:t xml:space="preserve">, </w:t>
      </w:r>
      <w:r w:rsidR="00710D36" w:rsidRPr="00087513">
        <w:rPr>
          <w:rFonts w:eastAsiaTheme="minorHAnsi"/>
        </w:rPr>
        <w:t>analýzy ukazovateľov, cieľov a dopadov, výkonnosti, organiz</w:t>
      </w:r>
      <w:r w:rsidR="003626D2" w:rsidRPr="00087513">
        <w:rPr>
          <w:rFonts w:eastAsiaTheme="minorHAnsi"/>
        </w:rPr>
        <w:t xml:space="preserve">ačných aspektov, </w:t>
      </w:r>
      <w:r w:rsidRPr="00087513">
        <w:rPr>
          <w:rFonts w:eastAsiaTheme="minorHAnsi"/>
        </w:rPr>
        <w:t>koordinačn</w:t>
      </w:r>
      <w:r w:rsidR="003626D2" w:rsidRPr="00087513">
        <w:rPr>
          <w:rFonts w:eastAsiaTheme="minorHAnsi"/>
        </w:rPr>
        <w:t xml:space="preserve">ej </w:t>
      </w:r>
      <w:r w:rsidR="00A1107E">
        <w:rPr>
          <w:rFonts w:eastAsiaTheme="minorHAnsi"/>
        </w:rPr>
        <w:br/>
      </w:r>
      <w:r w:rsidR="003626D2" w:rsidRPr="00087513">
        <w:rPr>
          <w:rFonts w:eastAsiaTheme="minorHAnsi"/>
        </w:rPr>
        <w:t>a metodickej</w:t>
      </w:r>
      <w:r w:rsidRPr="00087513">
        <w:rPr>
          <w:rFonts w:eastAsiaTheme="minorHAnsi"/>
        </w:rPr>
        <w:t xml:space="preserve"> podpor</w:t>
      </w:r>
      <w:r w:rsidR="003626D2" w:rsidRPr="00087513">
        <w:rPr>
          <w:rFonts w:eastAsiaTheme="minorHAnsi"/>
        </w:rPr>
        <w:t>y</w:t>
      </w:r>
      <w:r w:rsidR="00710D36" w:rsidRPr="00087513">
        <w:rPr>
          <w:rFonts w:eastAsiaTheme="minorHAnsi"/>
        </w:rPr>
        <w:t xml:space="preserve"> pri identifikácii rozvojového potenciálu regiónov SR na úrovni NUTS 3 a </w:t>
      </w:r>
      <w:r w:rsidR="00386DF9">
        <w:rPr>
          <w:rFonts w:eastAsiaTheme="minorHAnsi"/>
        </w:rPr>
        <w:t>ich subregiónov a </w:t>
      </w:r>
      <w:r w:rsidR="003626D2" w:rsidRPr="00087513">
        <w:rPr>
          <w:rFonts w:eastAsiaTheme="minorHAnsi"/>
        </w:rPr>
        <w:t>vykonali</w:t>
      </w:r>
      <w:r w:rsidR="00386DF9">
        <w:rPr>
          <w:rFonts w:eastAsiaTheme="minorHAnsi"/>
        </w:rPr>
        <w:t xml:space="preserve"> sa</w:t>
      </w:r>
      <w:r w:rsidR="003626D2" w:rsidRPr="00087513">
        <w:rPr>
          <w:rFonts w:eastAsiaTheme="minorHAnsi"/>
        </w:rPr>
        <w:t xml:space="preserve"> aktivity najmä v oblasti externých poradenských služieb zameraných na podporu riadenia, monitorovania a hodnotenia EŠIF</w:t>
      </w:r>
      <w:r w:rsidRPr="00087513">
        <w:rPr>
          <w:rFonts w:eastAsiaTheme="minorHAnsi"/>
        </w:rPr>
        <w:t xml:space="preserve">.  Hodnotiace aktivity zahŕňali oblasti </w:t>
      </w:r>
      <w:r w:rsidR="00710D36" w:rsidRPr="00087513">
        <w:rPr>
          <w:rFonts w:eastAsiaTheme="minorHAnsi"/>
        </w:rPr>
        <w:t xml:space="preserve">komunikačných a informačných aktivít v </w:t>
      </w:r>
      <w:r w:rsidR="00C72A5A">
        <w:rPr>
          <w:rFonts w:eastAsiaTheme="minorHAnsi"/>
        </w:rPr>
        <w:t>PO</w:t>
      </w:r>
      <w:r w:rsidRPr="00087513">
        <w:rPr>
          <w:rFonts w:eastAsiaTheme="minorHAnsi"/>
        </w:rPr>
        <w:t xml:space="preserve"> 2014 – 2020, metodológie</w:t>
      </w:r>
      <w:r w:rsidR="00710D36" w:rsidRPr="00087513">
        <w:rPr>
          <w:rFonts w:eastAsiaTheme="minorHAnsi"/>
        </w:rPr>
        <w:t xml:space="preserve"> hodnotenia synergických efektov EŠIF v kon</w:t>
      </w:r>
      <w:r w:rsidRPr="00087513">
        <w:rPr>
          <w:rFonts w:eastAsiaTheme="minorHAnsi"/>
        </w:rPr>
        <w:t>texte stratégie Európa 2020, vyhodnotenia</w:t>
      </w:r>
      <w:r w:rsidR="00710D36" w:rsidRPr="00087513">
        <w:rPr>
          <w:rFonts w:eastAsiaTheme="minorHAnsi"/>
        </w:rPr>
        <w:t xml:space="preserve"> </w:t>
      </w:r>
      <w:r w:rsidR="00710D36" w:rsidRPr="00087513">
        <w:rPr>
          <w:rFonts w:eastAsiaTheme="minorHAnsi"/>
        </w:rPr>
        <w:lastRenderedPageBreak/>
        <w:t xml:space="preserve">pokroku pri vykonávaní </w:t>
      </w:r>
      <w:r w:rsidR="00C72A5A">
        <w:rPr>
          <w:rFonts w:eastAsiaTheme="minorHAnsi"/>
        </w:rPr>
        <w:t>PD</w:t>
      </w:r>
      <w:r w:rsidRPr="00087513">
        <w:rPr>
          <w:rFonts w:eastAsiaTheme="minorHAnsi"/>
        </w:rPr>
        <w:t xml:space="preserve"> k 31.</w:t>
      </w:r>
      <w:r w:rsidR="00DE567C" w:rsidRPr="00087513">
        <w:rPr>
          <w:rFonts w:eastAsiaTheme="minorHAnsi"/>
        </w:rPr>
        <w:t xml:space="preserve"> </w:t>
      </w:r>
      <w:r w:rsidRPr="00087513">
        <w:rPr>
          <w:rFonts w:eastAsiaTheme="minorHAnsi"/>
        </w:rPr>
        <w:t>12. 2016, p</w:t>
      </w:r>
      <w:r w:rsidR="00710D36" w:rsidRPr="00087513">
        <w:rPr>
          <w:rFonts w:eastAsiaTheme="minorHAnsi"/>
        </w:rPr>
        <w:t>riebežné</w:t>
      </w:r>
      <w:r w:rsidRPr="00087513">
        <w:rPr>
          <w:rFonts w:eastAsiaTheme="minorHAnsi"/>
        </w:rPr>
        <w:t>ho hodnotenia</w:t>
      </w:r>
      <w:r w:rsidR="00710D36" w:rsidRPr="00087513">
        <w:rPr>
          <w:rFonts w:eastAsiaTheme="minorHAnsi"/>
        </w:rPr>
        <w:t xml:space="preserve"> pokroku implementácie </w:t>
      </w:r>
      <w:r w:rsidR="00386DF9">
        <w:rPr>
          <w:rFonts w:eastAsiaTheme="minorHAnsi"/>
        </w:rPr>
        <w:t xml:space="preserve">HP UR </w:t>
      </w:r>
      <w:r w:rsidR="00710D36" w:rsidRPr="00087513">
        <w:rPr>
          <w:rFonts w:eastAsiaTheme="minorHAnsi"/>
        </w:rPr>
        <w:t xml:space="preserve">a HP RMŽ a </w:t>
      </w:r>
      <w:r w:rsidR="00386DF9">
        <w:rPr>
          <w:rFonts w:eastAsiaTheme="minorHAnsi"/>
        </w:rPr>
        <w:t>ND</w:t>
      </w:r>
      <w:r w:rsidR="00710D36" w:rsidRPr="00087513">
        <w:rPr>
          <w:rFonts w:eastAsiaTheme="minorHAnsi"/>
        </w:rPr>
        <w:t xml:space="preserve"> na úrovni programov</w:t>
      </w:r>
      <w:r w:rsidR="00D9119D" w:rsidRPr="00087513">
        <w:rPr>
          <w:rFonts w:eastAsiaTheme="minorHAnsi"/>
        </w:rPr>
        <w:t>.</w:t>
      </w:r>
    </w:p>
    <w:p w:rsidR="00D9119D" w:rsidRDefault="00710D36" w:rsidP="00087513">
      <w:pPr>
        <w:jc w:val="both"/>
        <w:rPr>
          <w:rFonts w:eastAsiaTheme="minorHAnsi"/>
        </w:rPr>
      </w:pPr>
      <w:r w:rsidRPr="00087513">
        <w:rPr>
          <w:rFonts w:eastAsiaTheme="minorHAnsi"/>
        </w:rPr>
        <w:t xml:space="preserve">V priebehu </w:t>
      </w:r>
      <w:r w:rsidR="00D9119D" w:rsidRPr="00087513">
        <w:rPr>
          <w:rFonts w:eastAsiaTheme="minorHAnsi"/>
        </w:rPr>
        <w:t>roka 2016</w:t>
      </w:r>
      <w:r w:rsidRPr="00087513">
        <w:rPr>
          <w:rFonts w:eastAsiaTheme="minorHAnsi"/>
        </w:rPr>
        <w:t xml:space="preserve"> sa</w:t>
      </w:r>
      <w:r w:rsidR="00D9119D" w:rsidRPr="00087513">
        <w:rPr>
          <w:rFonts w:eastAsiaTheme="minorHAnsi"/>
        </w:rPr>
        <w:t xml:space="preserve"> o. i.</w:t>
      </w:r>
      <w:r w:rsidRPr="00087513">
        <w:rPr>
          <w:rFonts w:eastAsiaTheme="minorHAnsi"/>
        </w:rPr>
        <w:t xml:space="preserve"> zrealizovalo 10 stretnutí z toho 2 konferencie, 2 koordinačné stretnutia, 3 pracovné stretnutia, 1 zasadnutie NMV a GR zodpovedných za PS a 1 technické zabezpečenie tlmočníckej techniky.</w:t>
      </w:r>
    </w:p>
    <w:p w:rsidR="0082296E" w:rsidRDefault="00D9119D" w:rsidP="00087513">
      <w:pPr>
        <w:jc w:val="both"/>
        <w:rPr>
          <w:rFonts w:eastAsiaTheme="minorHAnsi"/>
        </w:rPr>
      </w:pPr>
      <w:r>
        <w:rPr>
          <w:rFonts w:eastAsiaTheme="minorHAnsi"/>
        </w:rPr>
        <w:t xml:space="preserve">V rámci aktivít </w:t>
      </w:r>
      <w:r w:rsidR="00C72A5A">
        <w:rPr>
          <w:rFonts w:eastAsiaTheme="minorHAnsi"/>
        </w:rPr>
        <w:t>SC</w:t>
      </w:r>
      <w:r>
        <w:rPr>
          <w:rFonts w:eastAsiaTheme="minorHAnsi"/>
        </w:rPr>
        <w:t xml:space="preserve"> 3 bolo zrealizované aj vytvorenie a prevádzkovanie </w:t>
      </w:r>
      <w:r w:rsidRPr="00D9119D">
        <w:rPr>
          <w:rFonts w:eastAsiaTheme="minorHAnsi"/>
        </w:rPr>
        <w:t>Integrovanej siete i</w:t>
      </w:r>
      <w:r>
        <w:rPr>
          <w:rFonts w:eastAsiaTheme="minorHAnsi"/>
        </w:rPr>
        <w:t>nformačno-poradenských centier, ktoré v</w:t>
      </w:r>
      <w:r w:rsidR="003675A3">
        <w:rPr>
          <w:rFonts w:eastAsiaTheme="minorHAnsi"/>
        </w:rPr>
        <w:t xml:space="preserve"> </w:t>
      </w:r>
      <w:r>
        <w:rPr>
          <w:rFonts w:eastAsiaTheme="minorHAnsi"/>
        </w:rPr>
        <w:t>jednotlivých samosprávnych krajoch</w:t>
      </w:r>
      <w:r w:rsidR="003626D2" w:rsidRPr="003626D2">
        <w:t xml:space="preserve"> </w:t>
      </w:r>
      <w:r w:rsidR="003626D2" w:rsidRPr="003626D2">
        <w:rPr>
          <w:rFonts w:eastAsiaTheme="minorHAnsi"/>
        </w:rPr>
        <w:t>zefektívňujú  koordináciu EŠIF, zabezpečujú princíp partnerstva a vytvárajú  komunikačné kanály</w:t>
      </w:r>
      <w:r w:rsidR="00C72A5A">
        <w:rPr>
          <w:rFonts w:eastAsiaTheme="minorHAnsi"/>
        </w:rPr>
        <w:t xml:space="preserve"> pre verejnosť a prijímateľov</w:t>
      </w:r>
      <w:r w:rsidR="003626D2" w:rsidRPr="003626D2">
        <w:rPr>
          <w:rFonts w:eastAsiaTheme="minorHAnsi"/>
        </w:rPr>
        <w:t xml:space="preserve">, vrátane zabezpečenia podpory pre potenciálnych žiadateľov </w:t>
      </w:r>
      <w:r w:rsidR="00A1107E">
        <w:rPr>
          <w:rFonts w:eastAsiaTheme="minorHAnsi"/>
        </w:rPr>
        <w:br/>
      </w:r>
      <w:r w:rsidR="003626D2" w:rsidRPr="003626D2">
        <w:rPr>
          <w:rFonts w:eastAsiaTheme="minorHAnsi"/>
        </w:rPr>
        <w:t>a prijímateľov poskytovaním odborného poradenstva.</w:t>
      </w:r>
      <w:r w:rsidR="0082296E" w:rsidRPr="0082296E">
        <w:t xml:space="preserve"> </w:t>
      </w:r>
    </w:p>
    <w:p w:rsidR="00D9119D" w:rsidRDefault="00D9119D" w:rsidP="00087513">
      <w:pPr>
        <w:jc w:val="both"/>
        <w:rPr>
          <w:rFonts w:eastAsiaTheme="minorHAnsi"/>
        </w:rPr>
      </w:pPr>
      <w:r>
        <w:rPr>
          <w:rFonts w:eastAsiaTheme="minorHAnsi"/>
        </w:rPr>
        <w:t xml:space="preserve">Merateľný ukazovateľ výsledku programu </w:t>
      </w:r>
      <w:r w:rsidRPr="00D9119D">
        <w:rPr>
          <w:rFonts w:eastAsiaTheme="minorHAnsi"/>
        </w:rPr>
        <w:t>R0151 - Zabezpečenie adekvátnej miery fungovania riadiaceho a kontrolného systému CKO</w:t>
      </w:r>
      <w:r>
        <w:rPr>
          <w:rFonts w:eastAsiaTheme="minorHAnsi"/>
        </w:rPr>
        <w:t xml:space="preserve"> vykazoval v roku 2016 nulovú hodnotu</w:t>
      </w:r>
      <w:r w:rsidR="00207544">
        <w:rPr>
          <w:rFonts w:eastAsiaTheme="minorHAnsi"/>
        </w:rPr>
        <w:t>,</w:t>
      </w:r>
      <w:r>
        <w:rPr>
          <w:rFonts w:eastAsiaTheme="minorHAnsi"/>
        </w:rPr>
        <w:t xml:space="preserve"> nakoľko</w:t>
      </w:r>
      <w:r w:rsidR="00207544">
        <w:rPr>
          <w:rFonts w:eastAsiaTheme="minorHAnsi"/>
        </w:rPr>
        <w:t xml:space="preserve"> v sledovanom období nebol vykonaný</w:t>
      </w:r>
      <w:r>
        <w:rPr>
          <w:rFonts w:eastAsiaTheme="minorHAnsi"/>
        </w:rPr>
        <w:t xml:space="preserve"> </w:t>
      </w:r>
      <w:r w:rsidR="00207544" w:rsidRPr="00207544">
        <w:rPr>
          <w:rFonts w:eastAsiaTheme="minorHAnsi"/>
        </w:rPr>
        <w:t>systémový audit OA na CKO</w:t>
      </w:r>
      <w:r w:rsidR="00207544">
        <w:rPr>
          <w:rFonts w:eastAsiaTheme="minorHAnsi"/>
        </w:rPr>
        <w:t>.</w:t>
      </w:r>
      <w:r w:rsidR="00207544" w:rsidRPr="00207544">
        <w:rPr>
          <w:rFonts w:eastAsiaTheme="minorHAnsi"/>
        </w:rPr>
        <w:t xml:space="preserve"> </w:t>
      </w:r>
      <w:r w:rsidR="00207544">
        <w:rPr>
          <w:rFonts w:eastAsiaTheme="minorHAnsi"/>
        </w:rPr>
        <w:t>Vzhľadom na skutočnosť, že</w:t>
      </w:r>
      <w:r w:rsidR="00207544" w:rsidRPr="00207544">
        <w:rPr>
          <w:rFonts w:eastAsiaTheme="minorHAnsi"/>
        </w:rPr>
        <w:t xml:space="preserve"> plánovanie systémových audit</w:t>
      </w:r>
      <w:r w:rsidR="00207544">
        <w:rPr>
          <w:rFonts w:eastAsiaTheme="minorHAnsi"/>
        </w:rPr>
        <w:t>ov</w:t>
      </w:r>
      <w:r w:rsidR="00207544" w:rsidRPr="00207544">
        <w:rPr>
          <w:rFonts w:eastAsiaTheme="minorHAnsi"/>
        </w:rPr>
        <w:t xml:space="preserve"> závisí od výsledkov rizikovej analýzy, </w:t>
      </w:r>
      <w:r w:rsidR="00207544">
        <w:rPr>
          <w:rFonts w:eastAsiaTheme="minorHAnsi"/>
        </w:rPr>
        <w:t xml:space="preserve">ktorú OA každoročne vykonáva, </w:t>
      </w:r>
      <w:r w:rsidR="00207544" w:rsidRPr="00207544">
        <w:rPr>
          <w:rFonts w:eastAsiaTheme="minorHAnsi"/>
        </w:rPr>
        <w:t>preto periodicitu uvedeného ukazovateľa nebude možné</w:t>
      </w:r>
      <w:r w:rsidR="00207544">
        <w:rPr>
          <w:rFonts w:eastAsiaTheme="minorHAnsi"/>
        </w:rPr>
        <w:t xml:space="preserve"> vždy každý rok</w:t>
      </w:r>
      <w:r w:rsidR="00207544" w:rsidRPr="00207544">
        <w:rPr>
          <w:rFonts w:eastAsiaTheme="minorHAnsi"/>
        </w:rPr>
        <w:t xml:space="preserve"> dodržať.</w:t>
      </w:r>
    </w:p>
    <w:p w:rsidR="00D9119D" w:rsidRDefault="00D9119D" w:rsidP="00087513">
      <w:pPr>
        <w:jc w:val="both"/>
        <w:rPr>
          <w:rFonts w:eastAsiaTheme="minorHAnsi"/>
        </w:rPr>
      </w:pPr>
      <w:r w:rsidRPr="00D9119D">
        <w:rPr>
          <w:rFonts w:eastAsiaTheme="minorHAnsi"/>
        </w:rPr>
        <w:t>Nameraná hodnota</w:t>
      </w:r>
      <w:r w:rsidR="00207544">
        <w:rPr>
          <w:rFonts w:eastAsiaTheme="minorHAnsi"/>
        </w:rPr>
        <w:t xml:space="preserve"> ukazovateľa</w:t>
      </w:r>
      <w:r w:rsidR="00207544" w:rsidRPr="00207544">
        <w:t xml:space="preserve"> </w:t>
      </w:r>
      <w:r w:rsidR="00207544" w:rsidRPr="00207544">
        <w:rPr>
          <w:rFonts w:eastAsiaTheme="minorHAnsi"/>
        </w:rPr>
        <w:t>R0152 - Miera dodržania lehôt vyplývajúcich zo SFR</w:t>
      </w:r>
      <w:r w:rsidR="00207544">
        <w:rPr>
          <w:rFonts w:eastAsiaTheme="minorHAnsi"/>
        </w:rPr>
        <w:t xml:space="preserve"> </w:t>
      </w:r>
      <w:r w:rsidRPr="00D9119D">
        <w:rPr>
          <w:rFonts w:eastAsiaTheme="minorHAnsi"/>
        </w:rPr>
        <w:t xml:space="preserve"> </w:t>
      </w:r>
      <w:r w:rsidR="00150E32">
        <w:rPr>
          <w:rFonts w:eastAsiaTheme="minorHAnsi"/>
        </w:rPr>
        <w:br/>
      </w:r>
      <w:r w:rsidRPr="00D9119D">
        <w:rPr>
          <w:rFonts w:eastAsiaTheme="minorHAnsi"/>
        </w:rPr>
        <w:t xml:space="preserve">vyjadruje podiel SŽP na celkovom počte SŽP. </w:t>
      </w:r>
    </w:p>
    <w:p w:rsidR="00207544" w:rsidRPr="00207544" w:rsidRDefault="00207544" w:rsidP="00207544">
      <w:pPr>
        <w:jc w:val="both"/>
        <w:rPr>
          <w:rFonts w:eastAsiaTheme="minorHAnsi"/>
        </w:rPr>
      </w:pPr>
      <w:r w:rsidRPr="00207544">
        <w:rPr>
          <w:rFonts w:eastAsiaTheme="minorHAnsi"/>
        </w:rPr>
        <w:t>Nakoľko za prvé dva účtovné roky (t.j. do 31. 06. 2016) neboli zo strany CO na EK deklarované žiadne výdavky za programy EŠIF, nebola vybraná žiadna vzorka n</w:t>
      </w:r>
      <w:r>
        <w:rPr>
          <w:rFonts w:eastAsiaTheme="minorHAnsi"/>
        </w:rPr>
        <w:t xml:space="preserve">a overenie, </w:t>
      </w:r>
      <w:r w:rsidR="00150E32">
        <w:rPr>
          <w:rFonts w:eastAsiaTheme="minorHAnsi"/>
        </w:rPr>
        <w:br/>
      </w:r>
      <w:r>
        <w:rPr>
          <w:rFonts w:eastAsiaTheme="minorHAnsi"/>
        </w:rPr>
        <w:t>t. z</w:t>
      </w:r>
      <w:r w:rsidRPr="00207544">
        <w:rPr>
          <w:rFonts w:eastAsiaTheme="minorHAnsi"/>
        </w:rPr>
        <w:t>. OA nevykonal žiadny audit operácií.</w:t>
      </w:r>
      <w:r>
        <w:rPr>
          <w:rFonts w:eastAsiaTheme="minorHAnsi"/>
        </w:rPr>
        <w:t xml:space="preserve"> Z uvedeného dôvodu hodnoty merateľného ukazovateľa </w:t>
      </w:r>
      <w:r w:rsidRPr="00207544">
        <w:rPr>
          <w:rFonts w:eastAsiaTheme="minorHAnsi"/>
        </w:rPr>
        <w:t>R0153 - Miera o</w:t>
      </w:r>
      <w:r>
        <w:rPr>
          <w:rFonts w:eastAsiaTheme="minorHAnsi"/>
        </w:rPr>
        <w:t>verenia deklarovaných výdavkov</w:t>
      </w:r>
      <w:r w:rsidR="00C6548C">
        <w:rPr>
          <w:rFonts w:eastAsiaTheme="minorHAnsi"/>
        </w:rPr>
        <w:t xml:space="preserve"> dosahuje východiskovú hodnotu</w:t>
      </w:r>
      <w:r>
        <w:rPr>
          <w:rFonts w:eastAsiaTheme="minorHAnsi"/>
        </w:rPr>
        <w:t>.</w:t>
      </w:r>
    </w:p>
    <w:p w:rsidR="00207544" w:rsidRPr="00207544" w:rsidRDefault="00166E0B" w:rsidP="00207544">
      <w:pPr>
        <w:jc w:val="both"/>
        <w:rPr>
          <w:rFonts w:eastAsiaTheme="minorHAnsi"/>
        </w:rPr>
      </w:pPr>
      <w:r>
        <w:rPr>
          <w:rFonts w:eastAsiaTheme="minorHAnsi"/>
        </w:rPr>
        <w:t>Ukazovatele</w:t>
      </w:r>
      <w:r w:rsidR="00207544">
        <w:rPr>
          <w:rFonts w:eastAsiaTheme="minorHAnsi"/>
        </w:rPr>
        <w:t xml:space="preserve"> </w:t>
      </w:r>
      <w:r w:rsidR="00207544" w:rsidRPr="00207544">
        <w:rPr>
          <w:rFonts w:eastAsiaTheme="minorHAnsi"/>
        </w:rPr>
        <w:t>O0210 - Počet zrealizovaných podujatí</w:t>
      </w:r>
      <w:r>
        <w:rPr>
          <w:rFonts w:eastAsiaTheme="minorHAnsi"/>
        </w:rPr>
        <w:t xml:space="preserve">, </w:t>
      </w:r>
      <w:r w:rsidR="00207544" w:rsidRPr="00207544">
        <w:rPr>
          <w:rFonts w:eastAsiaTheme="minorHAnsi"/>
        </w:rPr>
        <w:t>O0211 - Počet organizácii regionálnych sietí zapojených do poskytovania poradenstva o</w:t>
      </w:r>
      <w:r>
        <w:rPr>
          <w:rFonts w:eastAsiaTheme="minorHAnsi"/>
        </w:rPr>
        <w:t> </w:t>
      </w:r>
      <w:r w:rsidR="00207544" w:rsidRPr="00207544">
        <w:rPr>
          <w:rFonts w:eastAsiaTheme="minorHAnsi"/>
        </w:rPr>
        <w:t>EŠIF</w:t>
      </w:r>
      <w:r>
        <w:rPr>
          <w:rFonts w:eastAsiaTheme="minorHAnsi"/>
        </w:rPr>
        <w:t xml:space="preserve"> a </w:t>
      </w:r>
      <w:r w:rsidR="00207544" w:rsidRPr="00207544">
        <w:rPr>
          <w:rFonts w:eastAsiaTheme="minorHAnsi"/>
        </w:rPr>
        <w:t>O0213 - Počet vypracovaných materiálov</w:t>
      </w:r>
      <w:r>
        <w:rPr>
          <w:rFonts w:eastAsiaTheme="minorHAnsi"/>
        </w:rPr>
        <w:t xml:space="preserve">, boli pomerne naplňované v zmysle vyššie uvedeného. Hodnoty ukazovateľa </w:t>
      </w:r>
      <w:r w:rsidRPr="00166E0B">
        <w:rPr>
          <w:rFonts w:eastAsiaTheme="minorHAnsi"/>
        </w:rPr>
        <w:t>O0212 - Počet zavedených opatrení na boj proti korupcii a</w:t>
      </w:r>
      <w:r>
        <w:rPr>
          <w:rFonts w:eastAsiaTheme="minorHAnsi"/>
        </w:rPr>
        <w:t> </w:t>
      </w:r>
      <w:r w:rsidRPr="00166E0B">
        <w:rPr>
          <w:rFonts w:eastAsiaTheme="minorHAnsi"/>
        </w:rPr>
        <w:t>podvodom</w:t>
      </w:r>
      <w:r>
        <w:rPr>
          <w:rFonts w:eastAsiaTheme="minorHAnsi"/>
        </w:rPr>
        <w:t xml:space="preserve"> neboli v sledovanom období merané, nebol doposiaľ implementovaný žiadny projekt zameraný na príslušný typ aktivity.</w:t>
      </w:r>
    </w:p>
    <w:p w:rsidR="00207544" w:rsidRDefault="00207544" w:rsidP="00207544">
      <w:pPr>
        <w:jc w:val="both"/>
        <w:rPr>
          <w:rFonts w:eastAsiaTheme="minorHAnsi"/>
        </w:rPr>
      </w:pPr>
    </w:p>
    <w:p w:rsidR="00166E0B" w:rsidRDefault="00166E0B" w:rsidP="00207544">
      <w:pPr>
        <w:jc w:val="both"/>
        <w:rPr>
          <w:rFonts w:eastAsiaTheme="minorHAnsi"/>
        </w:rPr>
      </w:pPr>
      <w:r>
        <w:rPr>
          <w:rFonts w:eastAsiaTheme="minorHAnsi"/>
        </w:rPr>
        <w:t xml:space="preserve">Prioritná od 2 - </w:t>
      </w:r>
      <w:r w:rsidRPr="00166E0B">
        <w:rPr>
          <w:rFonts w:eastAsiaTheme="minorHAnsi"/>
        </w:rPr>
        <w:t>Systémová a technická podpora</w:t>
      </w:r>
    </w:p>
    <w:p w:rsidR="00166E0B" w:rsidRDefault="00166E0B" w:rsidP="00207544">
      <w:pPr>
        <w:jc w:val="both"/>
        <w:rPr>
          <w:rFonts w:eastAsiaTheme="minorHAnsi"/>
        </w:rPr>
      </w:pPr>
    </w:p>
    <w:p w:rsidR="00166E0B" w:rsidRDefault="00166E0B" w:rsidP="00207544">
      <w:pPr>
        <w:jc w:val="both"/>
        <w:rPr>
          <w:rFonts w:eastAsiaTheme="minorHAnsi"/>
        </w:rPr>
      </w:pPr>
      <w:r w:rsidRPr="00166E0B">
        <w:rPr>
          <w:rFonts w:eastAsiaTheme="minorHAnsi"/>
        </w:rPr>
        <w:t>Špecifický cieľ 1: Zvýšenie kvality, štandardu a dostupnosti IS pre EŠIF</w:t>
      </w:r>
    </w:p>
    <w:p w:rsidR="00166E0B" w:rsidRDefault="00166E0B" w:rsidP="00207544">
      <w:pPr>
        <w:jc w:val="both"/>
        <w:rPr>
          <w:rFonts w:eastAsiaTheme="minorHAnsi"/>
        </w:rPr>
      </w:pPr>
    </w:p>
    <w:p w:rsidR="00D9119D" w:rsidRDefault="00D724CE" w:rsidP="00087513">
      <w:pPr>
        <w:jc w:val="both"/>
        <w:rPr>
          <w:rFonts w:eastAsiaTheme="minorHAnsi"/>
        </w:rPr>
      </w:pPr>
      <w:r>
        <w:rPr>
          <w:rFonts w:eastAsiaTheme="minorHAnsi"/>
        </w:rPr>
        <w:t>V roku 2016 sa v rámci 4</w:t>
      </w:r>
      <w:r w:rsidR="00732E7E" w:rsidRPr="00732E7E">
        <w:rPr>
          <w:rFonts w:eastAsiaTheme="minorHAnsi"/>
        </w:rPr>
        <w:t xml:space="preserve"> implementovaných projektov realizovali príslušné aktivity pre napĺňanie cieľov</w:t>
      </w:r>
      <w:r w:rsidR="00732E7E">
        <w:rPr>
          <w:rFonts w:eastAsiaTheme="minorHAnsi"/>
        </w:rPr>
        <w:t xml:space="preserve"> tohto </w:t>
      </w:r>
      <w:r w:rsidR="00C72A5A">
        <w:rPr>
          <w:rFonts w:eastAsiaTheme="minorHAnsi"/>
        </w:rPr>
        <w:t>ŠC</w:t>
      </w:r>
      <w:r w:rsidR="00732E7E">
        <w:rPr>
          <w:rFonts w:eastAsiaTheme="minorHAnsi"/>
        </w:rPr>
        <w:t>, ktoré sú predovšetkým zamerané na d</w:t>
      </w:r>
      <w:r w:rsidR="00732E7E" w:rsidRPr="00732E7E">
        <w:rPr>
          <w:rFonts w:eastAsiaTheme="minorHAnsi"/>
        </w:rPr>
        <w:t>odanie</w:t>
      </w:r>
      <w:r w:rsidR="00C72A5A">
        <w:rPr>
          <w:rFonts w:eastAsiaTheme="minorHAnsi"/>
        </w:rPr>
        <w:t>, vývoj a prevádzku</w:t>
      </w:r>
      <w:r w:rsidR="00732E7E" w:rsidRPr="00732E7E">
        <w:rPr>
          <w:rFonts w:eastAsiaTheme="minorHAnsi"/>
        </w:rPr>
        <w:t xml:space="preserve"> vzájomne kompatibilných informačných a komunikačných technológií</w:t>
      </w:r>
      <w:r w:rsidR="00C72A5A">
        <w:rPr>
          <w:rFonts w:eastAsiaTheme="minorHAnsi"/>
        </w:rPr>
        <w:t xml:space="preserve"> a systémov pre monitorovanie EŠIF</w:t>
      </w:r>
      <w:r w:rsidR="00732E7E" w:rsidRPr="00732E7E">
        <w:rPr>
          <w:rFonts w:eastAsiaTheme="minorHAnsi"/>
        </w:rPr>
        <w:t xml:space="preserve"> vrátane ich elektronického vybavenia a licencií</w:t>
      </w:r>
      <w:r w:rsidR="00732E7E">
        <w:rPr>
          <w:rFonts w:eastAsiaTheme="minorHAnsi"/>
        </w:rPr>
        <w:t>,  m</w:t>
      </w:r>
      <w:r w:rsidR="00732E7E" w:rsidRPr="00732E7E">
        <w:rPr>
          <w:rFonts w:eastAsiaTheme="minorHAnsi"/>
        </w:rPr>
        <w:t>ateriálno - technické zabezpečenie a mobilitu subjektov EŠIF</w:t>
      </w:r>
      <w:r w:rsidR="00732E7E">
        <w:rPr>
          <w:rFonts w:eastAsiaTheme="minorHAnsi"/>
        </w:rPr>
        <w:t xml:space="preserve">. </w:t>
      </w:r>
    </w:p>
    <w:p w:rsidR="00732E7E" w:rsidRDefault="00732E7E" w:rsidP="00087513">
      <w:pPr>
        <w:jc w:val="both"/>
        <w:rPr>
          <w:rFonts w:eastAsiaTheme="minorHAnsi"/>
        </w:rPr>
      </w:pPr>
      <w:r>
        <w:rPr>
          <w:rFonts w:eastAsiaTheme="minorHAnsi"/>
        </w:rPr>
        <w:t xml:space="preserve">V sledovanom období boli zrealizované </w:t>
      </w:r>
      <w:r w:rsidR="00D724CE">
        <w:rPr>
          <w:rFonts w:eastAsiaTheme="minorHAnsi"/>
        </w:rPr>
        <w:t>aktivity</w:t>
      </w:r>
      <w:r w:rsidR="00C72A5A">
        <w:rPr>
          <w:rFonts w:eastAsiaTheme="minorHAnsi"/>
        </w:rPr>
        <w:t xml:space="preserve"> zamerané</w:t>
      </w:r>
      <w:r w:rsidR="00D724CE">
        <w:rPr>
          <w:rFonts w:eastAsiaTheme="minorHAnsi"/>
        </w:rPr>
        <w:t xml:space="preserve"> na obstaranie a vykonávanie </w:t>
      </w:r>
      <w:r>
        <w:rPr>
          <w:rFonts w:eastAsiaTheme="minorHAnsi"/>
        </w:rPr>
        <w:t xml:space="preserve"> </w:t>
      </w:r>
      <w:r w:rsidR="00D724CE">
        <w:rPr>
          <w:rFonts w:eastAsiaTheme="minorHAnsi"/>
        </w:rPr>
        <w:t>podporných služieb</w:t>
      </w:r>
      <w:r w:rsidRPr="00732E7E">
        <w:rPr>
          <w:rFonts w:eastAsiaTheme="minorHAnsi"/>
        </w:rPr>
        <w:t xml:space="preserve"> pre ITMS a odbor ITMS</w:t>
      </w:r>
      <w:r>
        <w:rPr>
          <w:rFonts w:eastAsiaTheme="minorHAnsi"/>
        </w:rPr>
        <w:t xml:space="preserve">, </w:t>
      </w:r>
      <w:r w:rsidR="00D724CE">
        <w:rPr>
          <w:rFonts w:eastAsiaTheme="minorHAnsi"/>
        </w:rPr>
        <w:t>obstaranie t</w:t>
      </w:r>
      <w:r w:rsidRPr="00732E7E">
        <w:rPr>
          <w:rFonts w:eastAsiaTheme="minorHAnsi"/>
        </w:rPr>
        <w:t>echnické</w:t>
      </w:r>
      <w:r w:rsidR="00D724CE">
        <w:rPr>
          <w:rFonts w:eastAsiaTheme="minorHAnsi"/>
        </w:rPr>
        <w:t>ho vybavenia</w:t>
      </w:r>
      <w:r w:rsidRPr="00732E7E">
        <w:rPr>
          <w:rFonts w:eastAsiaTheme="minorHAnsi"/>
        </w:rPr>
        <w:t xml:space="preserve"> </w:t>
      </w:r>
      <w:r w:rsidR="00C72A5A">
        <w:rPr>
          <w:rFonts w:eastAsiaTheme="minorHAnsi"/>
        </w:rPr>
        <w:t xml:space="preserve">pre </w:t>
      </w:r>
      <w:r w:rsidR="00D724CE">
        <w:rPr>
          <w:rFonts w:eastAsiaTheme="minorHAnsi"/>
        </w:rPr>
        <w:t xml:space="preserve">oprávnených zamestnancov, </w:t>
      </w:r>
      <w:r w:rsidR="00C72A5A">
        <w:rPr>
          <w:rFonts w:eastAsiaTheme="minorHAnsi"/>
        </w:rPr>
        <w:t>zrealizovanie servisných služieb</w:t>
      </w:r>
      <w:r w:rsidR="00D724CE">
        <w:rPr>
          <w:rFonts w:eastAsiaTheme="minorHAnsi"/>
        </w:rPr>
        <w:t xml:space="preserve"> ITMS II pre </w:t>
      </w:r>
      <w:r w:rsidR="00C72A5A">
        <w:rPr>
          <w:rFonts w:eastAsiaTheme="minorHAnsi"/>
        </w:rPr>
        <w:t>PO</w:t>
      </w:r>
      <w:r w:rsidR="00D724CE">
        <w:rPr>
          <w:rFonts w:eastAsiaTheme="minorHAnsi"/>
        </w:rPr>
        <w:t xml:space="preserve"> 2007-2013 a  služby technickej podpory a údržby pre ITMS2014+. Nakoľko sa implementácia projektov nachádza v počiatočnom stave je možné predpokladať, že predmetné ciele </w:t>
      </w:r>
      <w:r w:rsidR="00C72A5A">
        <w:rPr>
          <w:rFonts w:eastAsiaTheme="minorHAnsi"/>
        </w:rPr>
        <w:t>ŠC</w:t>
      </w:r>
      <w:r w:rsidR="00D724CE">
        <w:rPr>
          <w:rFonts w:eastAsiaTheme="minorHAnsi"/>
        </w:rPr>
        <w:t xml:space="preserve"> </w:t>
      </w:r>
      <w:r w:rsidR="00C6548C">
        <w:rPr>
          <w:rFonts w:eastAsiaTheme="minorHAnsi"/>
        </w:rPr>
        <w:t xml:space="preserve">1 </w:t>
      </w:r>
      <w:r w:rsidR="00D724CE">
        <w:rPr>
          <w:rFonts w:eastAsiaTheme="minorHAnsi"/>
        </w:rPr>
        <w:t>budú v priebehu najbližšieho obdobia predbežne</w:t>
      </w:r>
      <w:r w:rsidR="00E6577F">
        <w:rPr>
          <w:rFonts w:eastAsiaTheme="minorHAnsi"/>
        </w:rPr>
        <w:t xml:space="preserve"> a v dostatočnej miere</w:t>
      </w:r>
      <w:r w:rsidR="00D724CE">
        <w:rPr>
          <w:rFonts w:eastAsiaTheme="minorHAnsi"/>
        </w:rPr>
        <w:t xml:space="preserve"> dosahované.</w:t>
      </w:r>
    </w:p>
    <w:p w:rsidR="00E6577F" w:rsidRDefault="003626D2" w:rsidP="00087513">
      <w:pPr>
        <w:jc w:val="both"/>
        <w:rPr>
          <w:rFonts w:eastAsiaTheme="minorHAnsi"/>
        </w:rPr>
      </w:pPr>
      <w:r>
        <w:rPr>
          <w:rFonts w:eastAsiaTheme="minorHAnsi"/>
        </w:rPr>
        <w:t>Hodnoty m</w:t>
      </w:r>
      <w:r w:rsidR="00E6577F">
        <w:rPr>
          <w:rFonts w:eastAsiaTheme="minorHAnsi"/>
        </w:rPr>
        <w:t>erateľn</w:t>
      </w:r>
      <w:r>
        <w:rPr>
          <w:rFonts w:eastAsiaTheme="minorHAnsi"/>
        </w:rPr>
        <w:t>ého</w:t>
      </w:r>
      <w:r w:rsidR="00E6577F">
        <w:rPr>
          <w:rFonts w:eastAsiaTheme="minorHAnsi"/>
        </w:rPr>
        <w:t xml:space="preserve"> ukazovateľ</w:t>
      </w:r>
      <w:r>
        <w:rPr>
          <w:rFonts w:eastAsiaTheme="minorHAnsi"/>
        </w:rPr>
        <w:t>a</w:t>
      </w:r>
      <w:r w:rsidR="00E6577F">
        <w:rPr>
          <w:rFonts w:eastAsiaTheme="minorHAnsi"/>
        </w:rPr>
        <w:t xml:space="preserve"> výsledku programu </w:t>
      </w:r>
      <w:r w:rsidR="00E6577F" w:rsidRPr="00E6577F">
        <w:rPr>
          <w:rFonts w:eastAsiaTheme="minorHAnsi"/>
        </w:rPr>
        <w:t>R0154 - Miera spokojnosti užívateľov informačných systémov</w:t>
      </w:r>
      <w:r w:rsidR="00E6577F">
        <w:rPr>
          <w:rFonts w:eastAsiaTheme="minorHAnsi"/>
        </w:rPr>
        <w:t xml:space="preserve"> </w:t>
      </w:r>
      <w:r>
        <w:rPr>
          <w:rFonts w:eastAsiaTheme="minorHAnsi"/>
        </w:rPr>
        <w:t>sa</w:t>
      </w:r>
      <w:r w:rsidR="00445D43">
        <w:rPr>
          <w:rFonts w:eastAsiaTheme="minorHAnsi"/>
        </w:rPr>
        <w:t xml:space="preserve"> od začiatku implementácie OP TP</w:t>
      </w:r>
      <w:r>
        <w:rPr>
          <w:rFonts w:eastAsiaTheme="minorHAnsi"/>
        </w:rPr>
        <w:t xml:space="preserve"> plnia priebežne</w:t>
      </w:r>
      <w:r w:rsidR="00445D43">
        <w:rPr>
          <w:rFonts w:eastAsiaTheme="minorHAnsi"/>
        </w:rPr>
        <w:t>.</w:t>
      </w:r>
      <w:r>
        <w:rPr>
          <w:rFonts w:eastAsiaTheme="minorHAnsi"/>
        </w:rPr>
        <w:t xml:space="preserve"> </w:t>
      </w:r>
      <w:r w:rsidR="00E6577F">
        <w:rPr>
          <w:rFonts w:eastAsiaTheme="minorHAnsi"/>
        </w:rPr>
        <w:t>Pravidelným používaním relevantných informačných systémov EŠIF sa očakáva splnenie plánovanej hodnoty predmetného ukazovateľa</w:t>
      </w:r>
      <w:r w:rsidR="00445D43">
        <w:rPr>
          <w:rFonts w:eastAsiaTheme="minorHAnsi"/>
        </w:rPr>
        <w:t xml:space="preserve"> v roku 2023</w:t>
      </w:r>
      <w:r w:rsidR="00E6577F">
        <w:rPr>
          <w:rFonts w:eastAsiaTheme="minorHAnsi"/>
        </w:rPr>
        <w:t xml:space="preserve">. V prípade merateľného ukazovateľa </w:t>
      </w:r>
      <w:r w:rsidR="00E6577F" w:rsidRPr="00E6577F">
        <w:rPr>
          <w:rFonts w:eastAsiaTheme="minorHAnsi"/>
        </w:rPr>
        <w:t xml:space="preserve">R0155 - </w:t>
      </w:r>
      <w:r w:rsidR="00E6577F" w:rsidRPr="00E6577F">
        <w:rPr>
          <w:rFonts w:eastAsiaTheme="minorHAnsi"/>
        </w:rPr>
        <w:lastRenderedPageBreak/>
        <w:t>Miera dostupnosti informačných systémov</w:t>
      </w:r>
      <w:r w:rsidR="00E6577F">
        <w:rPr>
          <w:rFonts w:eastAsiaTheme="minorHAnsi"/>
        </w:rPr>
        <w:t xml:space="preserve"> boli hodnoty mierne prekročené, čo však možno hodnotiť ako pozitívny jav, ktorý súvisí s adekvátnou dostupnosťou informačných</w:t>
      </w:r>
      <w:r w:rsidR="004B334C">
        <w:rPr>
          <w:rFonts w:eastAsiaTheme="minorHAnsi"/>
        </w:rPr>
        <w:t xml:space="preserve"> systémov pre orgány zodpovedné za strategické úlohy EŠIF, ako aj pre širokú verejnosť.</w:t>
      </w:r>
    </w:p>
    <w:p w:rsidR="004B334C" w:rsidRDefault="004B334C" w:rsidP="00087513">
      <w:pPr>
        <w:jc w:val="both"/>
        <w:rPr>
          <w:rFonts w:eastAsiaTheme="minorHAnsi"/>
        </w:rPr>
      </w:pPr>
      <w:r>
        <w:rPr>
          <w:rFonts w:eastAsiaTheme="minorHAnsi"/>
        </w:rPr>
        <w:t xml:space="preserve">Merateľné ukazovatele výstupu programu </w:t>
      </w:r>
      <w:r w:rsidRPr="004B334C">
        <w:rPr>
          <w:rFonts w:eastAsiaTheme="minorHAnsi"/>
        </w:rPr>
        <w:t xml:space="preserve">O0214 - Počet implementovaných princípov </w:t>
      </w:r>
      <w:r w:rsidR="00150E32">
        <w:rPr>
          <w:rFonts w:eastAsiaTheme="minorHAnsi"/>
        </w:rPr>
        <w:br/>
      </w:r>
      <w:r w:rsidRPr="004B334C">
        <w:rPr>
          <w:rFonts w:eastAsiaTheme="minorHAnsi"/>
        </w:rPr>
        <w:t>e-Kohézie</w:t>
      </w:r>
      <w:r>
        <w:rPr>
          <w:rFonts w:eastAsiaTheme="minorHAnsi"/>
        </w:rPr>
        <w:t xml:space="preserve">, </w:t>
      </w:r>
      <w:r w:rsidRPr="004B334C">
        <w:rPr>
          <w:rFonts w:eastAsiaTheme="minorHAnsi"/>
        </w:rPr>
        <w:t>O0215 - Počet implementovaných elektronických služieb dostupných online</w:t>
      </w:r>
      <w:r>
        <w:rPr>
          <w:rFonts w:eastAsiaTheme="minorHAnsi"/>
        </w:rPr>
        <w:t xml:space="preserve">, </w:t>
      </w:r>
      <w:r w:rsidRPr="004B334C">
        <w:rPr>
          <w:rFonts w:eastAsiaTheme="minorHAnsi"/>
        </w:rPr>
        <w:t>O0216 - Počet užívateľov IS</w:t>
      </w:r>
      <w:r>
        <w:rPr>
          <w:rFonts w:eastAsiaTheme="minorHAnsi"/>
        </w:rPr>
        <w:t xml:space="preserve">, </w:t>
      </w:r>
      <w:r w:rsidRPr="004B334C">
        <w:rPr>
          <w:rFonts w:eastAsiaTheme="minorHAnsi"/>
        </w:rPr>
        <w:t>O0217 - Podiel pracovníkov vybavených materiálno-technickým zabezpečením</w:t>
      </w:r>
      <w:r>
        <w:rPr>
          <w:rFonts w:eastAsiaTheme="minorHAnsi"/>
        </w:rPr>
        <w:t xml:space="preserve"> dosiahli primerané miery hodnôt vzhľadom </w:t>
      </w:r>
      <w:r w:rsidR="00347236">
        <w:rPr>
          <w:rFonts w:eastAsiaTheme="minorHAnsi"/>
        </w:rPr>
        <w:t>na pokročilosť implementácie jednotlivých projektov</w:t>
      </w:r>
      <w:r>
        <w:rPr>
          <w:rFonts w:eastAsiaTheme="minorHAnsi"/>
        </w:rPr>
        <w:t>.</w:t>
      </w:r>
      <w:r w:rsidR="00347236">
        <w:rPr>
          <w:rFonts w:eastAsiaTheme="minorHAnsi"/>
        </w:rPr>
        <w:t xml:space="preserve"> </w:t>
      </w:r>
    </w:p>
    <w:p w:rsidR="00542440" w:rsidRPr="00AA7D81" w:rsidRDefault="00542440" w:rsidP="00542440">
      <w:pPr>
        <w:pStyle w:val="MPCKO4"/>
        <w:rPr>
          <w:rFonts w:eastAsiaTheme="minorHAnsi"/>
        </w:rPr>
      </w:pPr>
      <w:bookmarkStart w:id="26" w:name="_Toc428367963"/>
      <w:bookmarkStart w:id="27" w:name="_Toc482173554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11.2 </w:t>
      </w:r>
      <w:r>
        <w:rPr>
          <w:rFonts w:eastAsiaTheme="minorHAnsi"/>
        </w:rPr>
        <w:t xml:space="preserve">Osobitné opatrenia prijaté s cieľom podporovať </w:t>
      </w:r>
      <w:r w:rsidRPr="00AA7D81">
        <w:rPr>
          <w:rFonts w:eastAsiaTheme="minorHAnsi"/>
        </w:rPr>
        <w:t>rovnos</w:t>
      </w:r>
      <w:r>
        <w:rPr>
          <w:rFonts w:eastAsiaTheme="minorHAnsi"/>
        </w:rPr>
        <w:t>ť</w:t>
      </w:r>
      <w:r w:rsidRPr="00AA7D81">
        <w:rPr>
          <w:rFonts w:eastAsiaTheme="minorHAnsi"/>
        </w:rPr>
        <w:t xml:space="preserve"> muž</w:t>
      </w:r>
      <w:r>
        <w:rPr>
          <w:rFonts w:eastAsiaTheme="minorHAnsi"/>
        </w:rPr>
        <w:t xml:space="preserve">ov </w:t>
      </w:r>
      <w:r w:rsidRPr="00AA7D81">
        <w:rPr>
          <w:rFonts w:eastAsiaTheme="minorHAnsi"/>
        </w:rPr>
        <w:t>a ž</w:t>
      </w:r>
      <w:r>
        <w:rPr>
          <w:rFonts w:eastAsiaTheme="minorHAnsi"/>
        </w:rPr>
        <w:t>ien</w:t>
      </w:r>
      <w:r w:rsidRPr="00AA7D81">
        <w:rPr>
          <w:rFonts w:eastAsiaTheme="minorHAnsi"/>
        </w:rPr>
        <w:t xml:space="preserve"> a </w:t>
      </w:r>
      <w:r>
        <w:rPr>
          <w:rFonts w:eastAsiaTheme="minorHAnsi"/>
        </w:rPr>
        <w:t>predchádzať</w:t>
      </w:r>
      <w:r w:rsidRPr="00AA7D81">
        <w:rPr>
          <w:rFonts w:eastAsiaTheme="minorHAnsi"/>
        </w:rPr>
        <w:t xml:space="preserve"> diskriminácii, najmä zabezpečenie prístup</w:t>
      </w:r>
      <w:r>
        <w:rPr>
          <w:rFonts w:eastAsiaTheme="minorHAnsi"/>
        </w:rPr>
        <w:t>u</w:t>
      </w:r>
      <w:r w:rsidRPr="00AA7D81">
        <w:rPr>
          <w:rFonts w:eastAsiaTheme="minorHAnsi"/>
        </w:rPr>
        <w:t xml:space="preserve"> pre osoby so zdravotným postihnutím, a opatrenia </w:t>
      </w:r>
      <w:r>
        <w:rPr>
          <w:rFonts w:eastAsiaTheme="minorHAnsi"/>
        </w:rPr>
        <w:t>vykonané</w:t>
      </w:r>
      <w:r w:rsidRPr="00AA7D81">
        <w:rPr>
          <w:rFonts w:eastAsiaTheme="minorHAnsi"/>
          <w:sz w:val="22"/>
        </w:rPr>
        <w:t xml:space="preserve"> </w:t>
      </w:r>
      <w:r w:rsidRPr="00AA7D81">
        <w:rPr>
          <w:rFonts w:eastAsiaTheme="minorHAnsi"/>
        </w:rPr>
        <w:t xml:space="preserve">na zabezpečenie začlenenia hľadiska rodovej rovnosti </w:t>
      </w:r>
      <w:r>
        <w:rPr>
          <w:rFonts w:eastAsiaTheme="minorHAnsi"/>
        </w:rPr>
        <w:t>do</w:t>
      </w:r>
      <w:r w:rsidRPr="00AA7D81">
        <w:rPr>
          <w:rFonts w:eastAsiaTheme="minorHAnsi"/>
        </w:rPr>
        <w:t xml:space="preserve"> operačného programu a projektov</w:t>
      </w:r>
      <w:bookmarkEnd w:id="26"/>
      <w:bookmarkEnd w:id="27"/>
    </w:p>
    <w:p w:rsidR="00005115" w:rsidRPr="00005115" w:rsidRDefault="00005115" w:rsidP="00005115">
      <w:pPr>
        <w:spacing w:before="120" w:after="120"/>
        <w:jc w:val="both"/>
        <w:rPr>
          <w:rFonts w:eastAsiaTheme="minorHAnsi"/>
        </w:rPr>
      </w:pPr>
      <w:r w:rsidRPr="00005115">
        <w:rPr>
          <w:rFonts w:eastAsiaTheme="minorHAnsi"/>
        </w:rPr>
        <w:t xml:space="preserve">HP </w:t>
      </w:r>
      <w:r>
        <w:rPr>
          <w:rFonts w:eastAsiaTheme="minorHAnsi"/>
        </w:rPr>
        <w:t>nediskriminácia</w:t>
      </w:r>
      <w:r w:rsidR="00803E5B">
        <w:rPr>
          <w:rFonts w:eastAsiaTheme="minorHAnsi"/>
        </w:rPr>
        <w:t xml:space="preserve"> a HP rovnosť </w:t>
      </w:r>
      <w:r w:rsidR="001A78CF">
        <w:rPr>
          <w:rFonts w:eastAsiaTheme="minorHAnsi"/>
        </w:rPr>
        <w:t>mužov a žien</w:t>
      </w:r>
      <w:r>
        <w:rPr>
          <w:rFonts w:eastAsiaTheme="minorHAnsi"/>
        </w:rPr>
        <w:t xml:space="preserve"> sa uplatňu</w:t>
      </w:r>
      <w:r w:rsidR="00803E5B">
        <w:rPr>
          <w:rFonts w:eastAsiaTheme="minorHAnsi"/>
        </w:rPr>
        <w:t>jú</w:t>
      </w:r>
      <w:r w:rsidRPr="00005115">
        <w:rPr>
          <w:rFonts w:eastAsiaTheme="minorHAnsi"/>
        </w:rPr>
        <w:t xml:space="preserve"> </w:t>
      </w:r>
      <w:r w:rsidR="00150E32">
        <w:rPr>
          <w:rFonts w:eastAsiaTheme="minorHAnsi"/>
        </w:rPr>
        <w:br/>
      </w:r>
      <w:r w:rsidRPr="00005115">
        <w:rPr>
          <w:rFonts w:eastAsiaTheme="minorHAnsi"/>
        </w:rPr>
        <w:t>v rámci OP TP</w:t>
      </w:r>
      <w:r>
        <w:rPr>
          <w:rFonts w:eastAsiaTheme="minorHAnsi"/>
        </w:rPr>
        <w:t xml:space="preserve"> aj</w:t>
      </w:r>
      <w:r w:rsidRPr="00005115">
        <w:rPr>
          <w:rFonts w:eastAsiaTheme="minorHAnsi"/>
        </w:rPr>
        <w:t xml:space="preserve"> napriek tomu, že aktivity programu nie sú priamo cielené na podporu znevýhodnených skupín a zavádzanie vyrovnávacích opatrení</w:t>
      </w:r>
      <w:r w:rsidR="00803E5B">
        <w:rPr>
          <w:rFonts w:eastAsiaTheme="minorHAnsi"/>
        </w:rPr>
        <w:t xml:space="preserve"> a</w:t>
      </w:r>
      <w:r w:rsidR="00803E5B" w:rsidRPr="00803E5B">
        <w:t xml:space="preserve"> </w:t>
      </w:r>
      <w:r w:rsidR="00803E5B" w:rsidRPr="00803E5B">
        <w:rPr>
          <w:rFonts w:eastAsiaTheme="minorHAnsi"/>
        </w:rPr>
        <w:t>aktivity programu nie sú priamo cielené na podporu vyrovnávacích opatrení</w:t>
      </w:r>
      <w:r w:rsidRPr="00005115">
        <w:rPr>
          <w:rFonts w:eastAsiaTheme="minorHAnsi"/>
        </w:rPr>
        <w:t>.</w:t>
      </w:r>
      <w:r w:rsidR="00803E5B">
        <w:rPr>
          <w:rFonts w:eastAsiaTheme="minorHAnsi"/>
        </w:rPr>
        <w:t xml:space="preserve"> Uplatňovanie týchto princípov</w:t>
      </w:r>
      <w:r w:rsidRPr="00005115">
        <w:rPr>
          <w:rFonts w:eastAsiaTheme="minorHAnsi"/>
        </w:rPr>
        <w:t xml:space="preserve"> </w:t>
      </w:r>
      <w:r w:rsidR="00150E32">
        <w:rPr>
          <w:rFonts w:eastAsiaTheme="minorHAnsi"/>
        </w:rPr>
        <w:br/>
      </w:r>
      <w:r w:rsidRPr="00005115">
        <w:rPr>
          <w:rFonts w:eastAsiaTheme="minorHAnsi"/>
        </w:rPr>
        <w:t>v podmienkach OP TP spočíva najmä v zabezpečení podmienok pre rovnakú dostupnosť pre všetkých, aby nedochádzalo k vylučovaniu ľudí na základe rodu, veku, rasy, etnika, zdravotného postihnutia</w:t>
      </w:r>
      <w:r w:rsidR="00DB78B7">
        <w:rPr>
          <w:rFonts w:eastAsiaTheme="minorHAnsi"/>
        </w:rPr>
        <w:t xml:space="preserve"> </w:t>
      </w:r>
      <w:r w:rsidR="00DB78B7" w:rsidRPr="00DB78B7">
        <w:rPr>
          <w:rFonts w:eastAsiaTheme="minorHAnsi"/>
        </w:rPr>
        <w:t>alebo k mzdovej diskriminácií</w:t>
      </w:r>
      <w:r w:rsidR="00DB78B7">
        <w:rPr>
          <w:rFonts w:eastAsiaTheme="minorHAnsi"/>
        </w:rPr>
        <w:t xml:space="preserve"> </w:t>
      </w:r>
      <w:r w:rsidRPr="00005115">
        <w:rPr>
          <w:rFonts w:eastAsiaTheme="minorHAnsi"/>
        </w:rPr>
        <w:t>a pod.</w:t>
      </w:r>
    </w:p>
    <w:p w:rsidR="00005115" w:rsidRPr="00005115" w:rsidRDefault="00005115" w:rsidP="00005115">
      <w:pPr>
        <w:spacing w:before="120" w:after="120"/>
        <w:jc w:val="both"/>
        <w:rPr>
          <w:rFonts w:eastAsiaTheme="minorHAnsi"/>
        </w:rPr>
      </w:pPr>
      <w:r w:rsidRPr="00005115">
        <w:rPr>
          <w:rFonts w:eastAsiaTheme="minorHAnsi"/>
        </w:rPr>
        <w:t xml:space="preserve">Uplatňovanie HP rovnosť </w:t>
      </w:r>
      <w:r w:rsidR="001A78CF">
        <w:rPr>
          <w:rFonts w:eastAsiaTheme="minorHAnsi"/>
        </w:rPr>
        <w:t>mužov a žien a</w:t>
      </w:r>
      <w:r>
        <w:rPr>
          <w:rFonts w:eastAsiaTheme="minorHAnsi"/>
        </w:rPr>
        <w:t xml:space="preserve"> nediskriminácia bolo v sledovanom období</w:t>
      </w:r>
      <w:r w:rsidRPr="00005115">
        <w:rPr>
          <w:rFonts w:eastAsiaTheme="minorHAnsi"/>
        </w:rPr>
        <w:t xml:space="preserve"> na projektovej úrovni overované v procese výberu projektov, ako aj v procese monitorovania a kontroly projektov. </w:t>
      </w:r>
      <w:r w:rsidR="00803E5B">
        <w:rPr>
          <w:rFonts w:eastAsiaTheme="minorHAnsi"/>
        </w:rPr>
        <w:t xml:space="preserve">Zároveň RO OP TP pri vyhlasovaní jednotlivých vyzvaní, v zmysle Systému riadenia EŠIF, zasielal na posúdenie návrhy vyzvaní gestorovi HP RMŽ a ND.  </w:t>
      </w:r>
    </w:p>
    <w:p w:rsidR="00005115" w:rsidRDefault="00005115" w:rsidP="00005115">
      <w:pPr>
        <w:spacing w:before="120" w:after="120"/>
        <w:jc w:val="both"/>
        <w:rPr>
          <w:rFonts w:eastAsiaTheme="minorHAnsi"/>
        </w:rPr>
      </w:pPr>
      <w:r w:rsidRPr="00005115">
        <w:rPr>
          <w:rFonts w:eastAsiaTheme="minorHAnsi"/>
        </w:rPr>
        <w:t>Proces monitorovania plnen</w:t>
      </w:r>
      <w:r>
        <w:rPr>
          <w:rFonts w:eastAsiaTheme="minorHAnsi"/>
        </w:rPr>
        <w:t>ia horizontálnych princípov bol</w:t>
      </w:r>
      <w:r w:rsidRPr="00005115">
        <w:rPr>
          <w:rFonts w:eastAsiaTheme="minorHAnsi"/>
        </w:rPr>
        <w:t xml:space="preserve"> na projektovej úrovni sledovaný prostredníctvom monitorovac</w:t>
      </w:r>
      <w:r>
        <w:rPr>
          <w:rFonts w:eastAsiaTheme="minorHAnsi"/>
        </w:rPr>
        <w:t>ích správ, ktorých súčasťou bol</w:t>
      </w:r>
      <w:r w:rsidRPr="00005115">
        <w:rPr>
          <w:rFonts w:eastAsiaTheme="minorHAnsi"/>
        </w:rPr>
        <w:t xml:space="preserve"> samostatný výstup obsahujúci informácie o horizontálnych princípoch (t. j. popisom vykonaných aktivít, ich výsledkov </w:t>
      </w:r>
      <w:r w:rsidR="00150E32">
        <w:rPr>
          <w:rFonts w:eastAsiaTheme="minorHAnsi"/>
        </w:rPr>
        <w:br/>
      </w:r>
      <w:r w:rsidRPr="00005115">
        <w:rPr>
          <w:rFonts w:eastAsiaTheme="minorHAnsi"/>
        </w:rPr>
        <w:t>a vyhodnotením ich príspevku k dosahovaniu stanovených cieľov horizontálnych princípov), ako aj kontrolou na mieste realizácie projektov a následne hodnotením príspevku k cieľom horizontálnych princípov.</w:t>
      </w:r>
      <w:r w:rsidR="00803E5B">
        <w:rPr>
          <w:rFonts w:eastAsiaTheme="minorHAnsi"/>
        </w:rPr>
        <w:t xml:space="preserve"> </w:t>
      </w:r>
      <w:r w:rsidR="00DB78B7" w:rsidRPr="00DB78B7">
        <w:rPr>
          <w:rFonts w:eastAsiaTheme="minorHAnsi"/>
        </w:rPr>
        <w:t>Na projektovej úrovni boli zároveň monitorované tzv. iné údaje, ktorými sa monitoroval resp. sledoval ich súlad s HP RMŽ a ND</w:t>
      </w:r>
      <w:r w:rsidR="00803E5B">
        <w:rPr>
          <w:rFonts w:eastAsiaTheme="minorHAnsi"/>
        </w:rPr>
        <w:t>.</w:t>
      </w:r>
      <w:r w:rsidR="001D62CF">
        <w:rPr>
          <w:rFonts w:eastAsiaTheme="minorHAnsi"/>
        </w:rPr>
        <w:t xml:space="preserve"> Príspevok projektov k princípu rovnosti mužov a žien a nediskriminácie je stanovený už na jednotlivých vyzvaniach OP TP a zároveň sa v jednotlivých ŽoNFP a projektoch uvádza informácia, že daný projekt je v súlade</w:t>
      </w:r>
      <w:r w:rsidR="001D62CF" w:rsidRPr="001D62CF">
        <w:t xml:space="preserve"> </w:t>
      </w:r>
      <w:r w:rsidR="001D62CF" w:rsidRPr="001D62CF">
        <w:rPr>
          <w:rFonts w:eastAsiaTheme="minorHAnsi"/>
        </w:rPr>
        <w:t>s princípom podpory rovnosti mužov a žien a nediskriminácia.</w:t>
      </w:r>
    </w:p>
    <w:p w:rsidR="00DB78B7" w:rsidRDefault="00DB78B7" w:rsidP="00005115">
      <w:pPr>
        <w:spacing w:before="120" w:after="120"/>
        <w:jc w:val="both"/>
        <w:rPr>
          <w:rFonts w:eastAsiaTheme="minorHAnsi"/>
        </w:rPr>
      </w:pPr>
      <w:r w:rsidRPr="00DB78B7">
        <w:rPr>
          <w:rFonts w:eastAsiaTheme="minorHAnsi"/>
        </w:rPr>
        <w:t>Gestor HP RMŽ a ND vystupuje v procese implementácie OP TP v programovom období 2014-2020 aj ako</w:t>
      </w:r>
      <w:r>
        <w:rPr>
          <w:rFonts w:eastAsiaTheme="minorHAnsi"/>
        </w:rPr>
        <w:t xml:space="preserve"> oprávnený</w:t>
      </w:r>
      <w:r w:rsidRPr="00DB78B7">
        <w:rPr>
          <w:rFonts w:eastAsiaTheme="minorHAnsi"/>
        </w:rPr>
        <w:t xml:space="preserve"> žiadateľ</w:t>
      </w:r>
      <w:r>
        <w:rPr>
          <w:rFonts w:eastAsiaTheme="minorHAnsi"/>
        </w:rPr>
        <w:t>, resp. prijímateľ</w:t>
      </w:r>
      <w:r w:rsidRPr="00DB78B7">
        <w:rPr>
          <w:rFonts w:eastAsiaTheme="minorHAnsi"/>
        </w:rPr>
        <w:t>. Gestor HP RMŽ a ND predložil na RO OP TP  na schválenie projekt s názvom Stabilizácia AK gestora HP RMŽ a ND, z prioritnej osi 301010 - 1. Riadenie, kontrola a audit EŠIF, Konkrétny cieľ 1. Zabezpečiť stabilizáciu pracovníkov zapojených do systému riadenia, kontroly a auditu EŠIF. Obsahom projektu je refundácia miezd administratívnych kapacít gestora HP RMŽ a ND v počte 15, ktorí sú podľa opisu štátnozamestnaneckého miesta priamo zapojení do riadenia, monitorovania, hodnotenia a kontroly EŠIF v programovom období 2014-2020 v rámci OP TP na obdobie od decembra 2015 do decembra 2018. Projekt bol zazmluvnený a podpísaný prijímateľom v novembri 2016. V súčasnosti má gestor HP RMŽ a ND obsadených 12 pracovných miest na odbore rodovej rovnosti a rovnosti príležitostí/oddelenie horizontálnych princípov a na spolupracujúcom odbore integrácie osôb so zdravotným postihnutím sú momentálne obsadené 3 pracovné miesta</w:t>
      </w:r>
      <w:r>
        <w:rPr>
          <w:rFonts w:eastAsiaTheme="minorHAnsi"/>
        </w:rPr>
        <w:t>.</w:t>
      </w:r>
    </w:p>
    <w:p w:rsidR="0029246F" w:rsidRDefault="00542440" w:rsidP="0029246F">
      <w:pPr>
        <w:pStyle w:val="MPCKO4"/>
        <w:rPr>
          <w:rFonts w:eastAsiaTheme="minorHAnsi"/>
        </w:rPr>
      </w:pPr>
      <w:bookmarkStart w:id="28" w:name="_Toc428367964"/>
      <w:bookmarkStart w:id="29" w:name="_Toc482173555"/>
      <w:r>
        <w:rPr>
          <w:rFonts w:eastAsiaTheme="minorHAnsi"/>
        </w:rPr>
        <w:lastRenderedPageBreak/>
        <w:t>I.</w:t>
      </w:r>
      <w:r w:rsidRPr="00AA7D81">
        <w:rPr>
          <w:rFonts w:eastAsiaTheme="minorHAnsi"/>
        </w:rPr>
        <w:t>11.3 Udržateľný rozvoj</w:t>
      </w:r>
      <w:bookmarkEnd w:id="28"/>
      <w:bookmarkEnd w:id="29"/>
    </w:p>
    <w:p w:rsidR="0029246F" w:rsidRDefault="0029246F" w:rsidP="00087513">
      <w:pPr>
        <w:rPr>
          <w:rFonts w:eastAsiaTheme="minorHAnsi"/>
        </w:rPr>
      </w:pPr>
    </w:p>
    <w:p w:rsidR="0029246F" w:rsidRDefault="0029246F" w:rsidP="00087513">
      <w:pPr>
        <w:jc w:val="both"/>
        <w:rPr>
          <w:rFonts w:eastAsiaTheme="minorHAnsi"/>
        </w:rPr>
      </w:pPr>
      <w:r w:rsidRPr="0029246F">
        <w:rPr>
          <w:rFonts w:eastAsiaTheme="minorHAnsi"/>
        </w:rPr>
        <w:t>Prioritne OP TP prispieva najmä k posilneniu ekonomického a sociálneho aspektu rozvoja. Prostredníctvom OP TP sú podporované aktivity vo vzťahu k</w:t>
      </w:r>
      <w:r w:rsidR="00BC6377">
        <w:rPr>
          <w:rFonts w:eastAsiaTheme="minorHAnsi"/>
        </w:rPr>
        <w:t xml:space="preserve"> tomuto horizontálnemu princípu</w:t>
      </w:r>
      <w:r w:rsidRPr="0029246F">
        <w:rPr>
          <w:rFonts w:eastAsiaTheme="minorHAnsi"/>
        </w:rPr>
        <w:t>.</w:t>
      </w:r>
    </w:p>
    <w:p w:rsidR="00BC6377" w:rsidRDefault="00BC6377" w:rsidP="00087513">
      <w:pPr>
        <w:jc w:val="both"/>
        <w:rPr>
          <w:sz w:val="22"/>
          <w:szCs w:val="22"/>
        </w:rPr>
      </w:pPr>
    </w:p>
    <w:p w:rsidR="00BC6377" w:rsidRPr="00087513" w:rsidRDefault="00BC6377" w:rsidP="00087513">
      <w:pPr>
        <w:jc w:val="both"/>
      </w:pPr>
      <w:r w:rsidRPr="00087513">
        <w:t>V rámci environmentálneho aspektu rozvoja podporuje OP TP uvedený HP v oblasti ochrany životného prostredia a podpory efektívneho využívania zdrojov a podpory prispôsobovania sa zmenám klímy, predchádzaniu a riadenie rizika (napr. materiálno - technické zabezpečenie subjektov zapojených do riadenia, implementácie, finančného riadenia, kontroly a auditu EŠIF)</w:t>
      </w:r>
    </w:p>
    <w:p w:rsidR="00BC6377" w:rsidRPr="00087513" w:rsidRDefault="00BC6377" w:rsidP="00087513">
      <w:pPr>
        <w:jc w:val="both"/>
      </w:pPr>
    </w:p>
    <w:p w:rsidR="00BC6377" w:rsidRPr="00087513" w:rsidRDefault="00BC6377" w:rsidP="00087513">
      <w:pPr>
        <w:jc w:val="both"/>
      </w:pPr>
      <w:r w:rsidRPr="00087513">
        <w:t>V rámci ekonomického aspek</w:t>
      </w:r>
      <w:r w:rsidR="00C4340D">
        <w:t>t</w:t>
      </w:r>
      <w:r w:rsidRPr="00087513">
        <w:t xml:space="preserve">u rozvoja podporuje OP TP uvedený HP v oblasti  zlepšenia prístupu k informáciám a komunikačným technológiám a zlepšeniu ich využívania a kvality (napr. zvýšenie kvality, štandardu a dostupnosti IS pre EŠIF, vývoj, úprava a dodanie IS pre monitorovanie EŠIF), v investovaní do vzdelávania, zručností a celoživotného vzdelávania (napr. zavedenie a realizácia centrálneho plánu vzdelávania, špecifické vzdelávanie AK), </w:t>
      </w:r>
      <w:r w:rsidR="00A1107E">
        <w:br/>
      </w:r>
      <w:r w:rsidRPr="00087513">
        <w:t>v posilnení inštitucionálnych kapacít a efektivity verejnej správy (napr. refundácia miezd AK zapojených do riadenia, implementácie, finančného riadenia, kontroly a auditu EŠIF, zavedenie transparentného, spravodlivého a motivačného systému hodnotenia, odmeňovania oprávnených prijímateľov OP TP na základe stratégie riadenia AK, príprava nových AK, podpora realizácie verejnej regionálnej siete, implementácia systému manažérstva kvality, riešenie korupcie a boja proti podvodom)</w:t>
      </w:r>
    </w:p>
    <w:p w:rsidR="00BC6377" w:rsidRPr="00087513" w:rsidRDefault="00BC6377" w:rsidP="00BC6377">
      <w:pPr>
        <w:jc w:val="both"/>
      </w:pPr>
    </w:p>
    <w:p w:rsidR="00BC6377" w:rsidRPr="00087513" w:rsidRDefault="00BC6377" w:rsidP="00BC6377">
      <w:pPr>
        <w:jc w:val="both"/>
      </w:pPr>
      <w:r w:rsidRPr="00087513">
        <w:t xml:space="preserve">Za účelom znižovania negatívnych vplyvov na klímu, znižovania znečistenia ovzdušia </w:t>
      </w:r>
      <w:r w:rsidR="00150E32">
        <w:br/>
      </w:r>
      <w:r w:rsidRPr="00087513">
        <w:t xml:space="preserve">a ostatných zložiek životného prostredia, ako aj s ohľadom na energetickú efektívnosť sa budú v rámci implementácie OP TP uplatňovať pravidlá zeleného verejného obstarávania. </w:t>
      </w:r>
    </w:p>
    <w:p w:rsidR="00F553EE" w:rsidRPr="00087513" w:rsidRDefault="00F553EE" w:rsidP="00F553EE">
      <w:pPr>
        <w:jc w:val="both"/>
        <w:rPr>
          <w:b/>
          <w:bCs/>
          <w:iCs/>
        </w:rPr>
      </w:pPr>
    </w:p>
    <w:p w:rsidR="00F553EE" w:rsidRPr="00087513" w:rsidRDefault="00F553EE" w:rsidP="00F553EE">
      <w:pPr>
        <w:jc w:val="both"/>
        <w:rPr>
          <w:rFonts w:eastAsia="Calibri"/>
        </w:rPr>
      </w:pPr>
      <w:r w:rsidRPr="00087513">
        <w:t>Technická pomoc pre zabezpečenie činnosti gestora HP UR je pos</w:t>
      </w:r>
      <w:r w:rsidRPr="00087513">
        <w:rPr>
          <w:bCs/>
          <w:iCs/>
        </w:rPr>
        <w:t>kytovaná prostredníctvom  OP TP. Gestor HP UR vystupuje v procese implementácie OP TP ako prijímateľ. Prostredníctvom projektov využívania TP z OP TP je zabezpečovaná podpora všetkých činností a úloh gestora HP UR nasledovne:</w:t>
      </w:r>
    </w:p>
    <w:p w:rsidR="00F553EE" w:rsidRPr="00087513" w:rsidRDefault="00F553EE" w:rsidP="00F553EE">
      <w:pPr>
        <w:rPr>
          <w:rFonts w:eastAsia="Calibri"/>
        </w:rPr>
      </w:pPr>
    </w:p>
    <w:tbl>
      <w:tblPr>
        <w:tblStyle w:val="Mriekatabuky1"/>
        <w:tblW w:w="0" w:type="auto"/>
        <w:tblInd w:w="108" w:type="dxa"/>
        <w:tblLook w:val="04A0" w:firstRow="1" w:lastRow="0" w:firstColumn="1" w:lastColumn="0" w:noHBand="0" w:noVBand="1"/>
      </w:tblPr>
      <w:tblGrid>
        <w:gridCol w:w="1550"/>
        <w:gridCol w:w="2658"/>
        <w:gridCol w:w="4746"/>
      </w:tblGrid>
      <w:tr w:rsidR="00F553EE" w:rsidRPr="000B78BD" w:rsidTr="00F553E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  <w:r w:rsidRPr="00087513">
              <w:rPr>
                <w:b/>
                <w:color w:val="000000"/>
                <w:lang w:eastAsia="en-US"/>
              </w:rPr>
              <w:t>Prioritná 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  <w:r w:rsidRPr="00087513">
              <w:rPr>
                <w:b/>
                <w:bCs/>
                <w:color w:val="000000"/>
                <w:lang w:eastAsia="en-US"/>
              </w:rPr>
              <w:t>Špecifický cieľ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  <w:r w:rsidRPr="00087513">
              <w:rPr>
                <w:b/>
                <w:color w:val="000000"/>
                <w:lang w:eastAsia="en-US"/>
              </w:rPr>
              <w:t>Opis typu a príklady aktivít</w:t>
            </w:r>
          </w:p>
        </w:tc>
      </w:tr>
      <w:tr w:rsidR="00F553EE" w:rsidRPr="000B78BD" w:rsidTr="00F553E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87513">
              <w:rPr>
                <w:bCs/>
                <w:color w:val="000000"/>
                <w:lang w:eastAsia="en-US"/>
              </w:rPr>
              <w:t>1. Riadenie, kontrola a audit EŠIF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87513">
              <w:rPr>
                <w:bCs/>
                <w:color w:val="000000"/>
                <w:lang w:eastAsia="en-US"/>
              </w:rPr>
              <w:t>1. Zabezpečiť stabilizáciu pracovníkov subjektov zapojených do systému riadenia, kontroly a auditu EŠIF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87513">
              <w:rPr>
                <w:bCs/>
                <w:iCs/>
                <w:color w:val="000000"/>
                <w:lang w:eastAsia="en-US"/>
              </w:rPr>
              <w:t>A. Refundácia miezd AK priamo zapojených do riadenia, kontroly a auditu EŠIF (pozn.: gestor HP UR 13 AK)</w:t>
            </w:r>
          </w:p>
        </w:tc>
      </w:tr>
      <w:tr w:rsidR="00F553EE" w:rsidRPr="000B78BD" w:rsidTr="00F553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rPr>
                <w:color w:val="000000"/>
                <w:lang w:eastAsia="en-US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87513">
              <w:rPr>
                <w:bCs/>
                <w:iCs/>
                <w:color w:val="000000"/>
                <w:lang w:eastAsia="en-US"/>
              </w:rPr>
              <w:t>D. Špecifické vzdelávanie AK zapojených do riadenia, kontroly a auditu EŠIF</w:t>
            </w:r>
          </w:p>
        </w:tc>
      </w:tr>
      <w:tr w:rsidR="00F553EE" w:rsidRPr="000B78BD" w:rsidTr="00F553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rPr>
                <w:color w:val="000000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87513">
              <w:rPr>
                <w:bCs/>
                <w:color w:val="000000"/>
                <w:lang w:eastAsia="en-US"/>
              </w:rPr>
              <w:t>3. Implementovať správny a transparentný systém riadenia, kontroly a auditu EŠIF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87513">
              <w:rPr>
                <w:bCs/>
                <w:iCs/>
                <w:color w:val="000000"/>
                <w:lang w:eastAsia="en-US"/>
              </w:rPr>
              <w:t>A. Činnosti spojené s realizáciou Rady CKO, monitorovacími výbormi, zasadnutiami pracovných skupín EŠIF</w:t>
            </w:r>
          </w:p>
        </w:tc>
      </w:tr>
      <w:tr w:rsidR="00F553EE" w:rsidRPr="000B78BD" w:rsidTr="00F553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rPr>
                <w:color w:val="000000"/>
                <w:lang w:eastAsia="en-US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87513">
              <w:rPr>
                <w:bCs/>
                <w:iCs/>
                <w:color w:val="000000"/>
                <w:lang w:eastAsia="en-US"/>
              </w:rPr>
              <w:t>E. Hodnotenia, analýzy, štúdie a expertízne posúdenia</w:t>
            </w:r>
          </w:p>
        </w:tc>
      </w:tr>
      <w:tr w:rsidR="00F553EE" w:rsidRPr="000B78BD" w:rsidTr="00F553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rPr>
                <w:color w:val="000000"/>
                <w:lang w:eastAsia="en-US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87513">
              <w:rPr>
                <w:bCs/>
                <w:iCs/>
                <w:color w:val="000000"/>
                <w:lang w:eastAsia="en-US"/>
              </w:rPr>
              <w:t>F. Konzultačné, poradenské a právne služby</w:t>
            </w:r>
          </w:p>
        </w:tc>
      </w:tr>
      <w:tr w:rsidR="00F553EE" w:rsidRPr="000B78BD" w:rsidTr="00F553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rPr>
                <w:color w:val="000000"/>
                <w:lang w:eastAsia="en-US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87513">
              <w:rPr>
                <w:bCs/>
                <w:iCs/>
                <w:color w:val="000000"/>
                <w:lang w:eastAsia="en-US"/>
              </w:rPr>
              <w:t>I. Zber a spracovanie dát, prieskumy, štatistické zisťovanie</w:t>
            </w:r>
          </w:p>
        </w:tc>
      </w:tr>
      <w:tr w:rsidR="00F553EE" w:rsidRPr="000B78BD" w:rsidTr="00F553EE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87513">
              <w:rPr>
                <w:bCs/>
                <w:lang w:eastAsia="en-US"/>
              </w:rPr>
              <w:t>2. Systémová a technická podpora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87513">
              <w:rPr>
                <w:bCs/>
                <w:lang w:eastAsia="en-US"/>
              </w:rPr>
              <w:t xml:space="preserve">1. Zvýšenie kvality, štandardu a dostupnosti </w:t>
            </w:r>
            <w:r w:rsidRPr="00087513">
              <w:rPr>
                <w:color w:val="000000"/>
                <w:lang w:eastAsia="en-US"/>
              </w:rPr>
              <w:t xml:space="preserve">informačných systémov </w:t>
            </w:r>
            <w:r w:rsidRPr="00087513">
              <w:rPr>
                <w:bCs/>
                <w:lang w:eastAsia="en-US"/>
              </w:rPr>
              <w:t>pre EŠIF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87513">
              <w:rPr>
                <w:bCs/>
                <w:iCs/>
                <w:color w:val="000000"/>
                <w:lang w:eastAsia="en-US"/>
              </w:rPr>
              <w:t xml:space="preserve">A. Dodanie vzájomne kompatibilných informačných a komunikačných technológií vrátane ich elektronického vybavenia a licencií pre orgány zapojené do riadenia, </w:t>
            </w:r>
            <w:r w:rsidRPr="00087513">
              <w:rPr>
                <w:bCs/>
                <w:iCs/>
                <w:color w:val="000000"/>
                <w:lang w:eastAsia="en-US"/>
              </w:rPr>
              <w:lastRenderedPageBreak/>
              <w:t>implementácie, finančného riadenia, kontroly a auditu EŠIF</w:t>
            </w:r>
          </w:p>
        </w:tc>
      </w:tr>
      <w:tr w:rsidR="00F553EE" w:rsidRPr="000B78BD" w:rsidTr="00F553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rPr>
                <w:color w:val="000000"/>
                <w:lang w:eastAsia="en-US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3EE" w:rsidRPr="00087513" w:rsidRDefault="00F553EE" w:rsidP="00F553E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087513">
              <w:rPr>
                <w:bCs/>
                <w:iCs/>
                <w:color w:val="000000"/>
                <w:lang w:eastAsia="en-US"/>
              </w:rPr>
              <w:t>E. Materiálno-technické zabezpečenie a mobilita subjektov zapojených do riadenia, implementácie, finančného riadenia, kontroly a auditu EŠIF</w:t>
            </w:r>
          </w:p>
        </w:tc>
      </w:tr>
    </w:tbl>
    <w:p w:rsidR="005926CF" w:rsidRDefault="00542440" w:rsidP="00087513">
      <w:pPr>
        <w:pStyle w:val="MPCKO4"/>
        <w:rPr>
          <w:rFonts w:eastAsiaTheme="minorHAnsi"/>
        </w:rPr>
      </w:pPr>
      <w:bookmarkStart w:id="30" w:name="_Toc428367965"/>
      <w:bookmarkStart w:id="31" w:name="_Toc482173556"/>
      <w:r>
        <w:rPr>
          <w:rFonts w:eastAsiaTheme="minorHAnsi"/>
        </w:rPr>
        <w:t>I.</w:t>
      </w:r>
      <w:r w:rsidRPr="00AA7D81">
        <w:rPr>
          <w:rFonts w:eastAsiaTheme="minorHAnsi"/>
        </w:rPr>
        <w:t>11.4 Podpora použitá na ciele súvisiace so zmenou klímy</w:t>
      </w:r>
      <w:bookmarkEnd w:id="30"/>
      <w:bookmarkEnd w:id="31"/>
    </w:p>
    <w:p w:rsidR="005926CF" w:rsidRDefault="005926CF" w:rsidP="00087513">
      <w:pPr>
        <w:spacing w:before="120" w:after="120"/>
        <w:jc w:val="both"/>
        <w:rPr>
          <w:rFonts w:eastAsiaTheme="minorHAnsi"/>
        </w:rPr>
      </w:pPr>
      <w:r w:rsidRPr="005926CF">
        <w:rPr>
          <w:rFonts w:eastAsiaTheme="minorHAnsi"/>
        </w:rPr>
        <w:t>Požadované informácie nie sú pre OP TP relevantné.</w:t>
      </w:r>
      <w:bookmarkStart w:id="32" w:name="_Toc428367966"/>
    </w:p>
    <w:p w:rsidR="00911A4D" w:rsidRDefault="00542440" w:rsidP="00087513">
      <w:pPr>
        <w:pStyle w:val="MPCKO4"/>
        <w:rPr>
          <w:rFonts w:eastAsiaTheme="minorHAnsi"/>
        </w:rPr>
      </w:pPr>
      <w:bookmarkStart w:id="33" w:name="_Toc482173557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11.5 Úloha partnerov </w:t>
      </w:r>
      <w:r>
        <w:rPr>
          <w:rFonts w:eastAsiaTheme="minorHAnsi"/>
        </w:rPr>
        <w:t>pri</w:t>
      </w:r>
      <w:r w:rsidRPr="00AA7D81">
        <w:rPr>
          <w:rFonts w:eastAsiaTheme="minorHAnsi"/>
        </w:rPr>
        <w:t xml:space="preserve"> vykonávan</w:t>
      </w:r>
      <w:r>
        <w:rPr>
          <w:rFonts w:eastAsiaTheme="minorHAnsi"/>
        </w:rPr>
        <w:t>í</w:t>
      </w:r>
      <w:r w:rsidRPr="00AA7D81">
        <w:rPr>
          <w:rFonts w:eastAsiaTheme="minorHAnsi"/>
        </w:rPr>
        <w:t xml:space="preserve"> programu</w:t>
      </w:r>
      <w:bookmarkEnd w:id="32"/>
      <w:bookmarkEnd w:id="33"/>
    </w:p>
    <w:p w:rsidR="000B78BD" w:rsidRPr="000B78BD" w:rsidRDefault="000B78BD" w:rsidP="00087513">
      <w:pPr>
        <w:rPr>
          <w:rFonts w:eastAsiaTheme="minorHAnsi"/>
        </w:rPr>
      </w:pPr>
    </w:p>
    <w:p w:rsidR="00264E23" w:rsidRPr="00264E23" w:rsidRDefault="00911A4D" w:rsidP="00264E23">
      <w:p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 xml:space="preserve">RO OP TP v rámci svojich činností pri vykonávaní programu spolupracuje s partnermi </w:t>
      </w:r>
      <w:r w:rsidR="00264E23">
        <w:rPr>
          <w:rFonts w:eastAsiaTheme="minorHAnsi"/>
        </w:rPr>
        <w:t xml:space="preserve">najmä v prípade zasadnutí monitorovacieho výboru pre OP TP (MV OP TP). MV OP TP </w:t>
      </w:r>
      <w:r w:rsidR="00264E23" w:rsidRPr="00264E23">
        <w:rPr>
          <w:rFonts w:eastAsiaTheme="minorHAnsi"/>
        </w:rPr>
        <w:t xml:space="preserve">je zriadený za účelom monitorovania vykonávania </w:t>
      </w:r>
      <w:r w:rsidR="00264E23">
        <w:rPr>
          <w:rFonts w:eastAsiaTheme="minorHAnsi"/>
        </w:rPr>
        <w:t>OP TP</w:t>
      </w:r>
      <w:r w:rsidR="00264E23" w:rsidRPr="00264E23">
        <w:rPr>
          <w:rFonts w:eastAsiaTheme="minorHAnsi"/>
        </w:rPr>
        <w:t xml:space="preserve"> (ďalej len ,,OP TP“) pre čerpanie pomoci </w:t>
      </w:r>
      <w:r w:rsidR="00150E32">
        <w:rPr>
          <w:rFonts w:eastAsiaTheme="minorHAnsi"/>
        </w:rPr>
        <w:br/>
      </w:r>
      <w:r w:rsidR="00264E23" w:rsidRPr="00264E23">
        <w:rPr>
          <w:rFonts w:eastAsiaTheme="minorHAnsi"/>
        </w:rPr>
        <w:t xml:space="preserve">z </w:t>
      </w:r>
      <w:r w:rsidR="00264E23">
        <w:rPr>
          <w:rFonts w:eastAsiaTheme="minorHAnsi"/>
        </w:rPr>
        <w:t>EŠIF</w:t>
      </w:r>
      <w:r w:rsidR="00264E23" w:rsidRPr="00264E23">
        <w:rPr>
          <w:rFonts w:eastAsiaTheme="minorHAnsi"/>
        </w:rPr>
        <w:t xml:space="preserve"> v programovom období 2014 – 2020</w:t>
      </w:r>
      <w:r w:rsidR="00264E23">
        <w:rPr>
          <w:rFonts w:eastAsiaTheme="minorHAnsi"/>
        </w:rPr>
        <w:t>. Zasadnutia MV OP TP sa uskutočňujú minimálne raz do roka, resp. v prípade potreby RO OP TP využíva zasadnutia MV OP TP písomnou formou (per rollam). Partneri sa o. i. v rámci zasadnutí MV OP TP podieľajú na preskúmavaní vykonávania</w:t>
      </w:r>
      <w:r w:rsidR="00264E23" w:rsidRPr="00264E23">
        <w:rPr>
          <w:rFonts w:eastAsiaTheme="minorHAnsi"/>
        </w:rPr>
        <w:t xml:space="preserve"> OP TP a pokrok</w:t>
      </w:r>
      <w:r w:rsidR="00264E23">
        <w:rPr>
          <w:rFonts w:eastAsiaTheme="minorHAnsi"/>
        </w:rPr>
        <w:t>u dosahovanom</w:t>
      </w:r>
      <w:r w:rsidR="00264E23" w:rsidRPr="00264E23">
        <w:rPr>
          <w:rFonts w:eastAsiaTheme="minorHAnsi"/>
        </w:rPr>
        <w:t xml:space="preserve"> pri plnení</w:t>
      </w:r>
      <w:r w:rsidR="00264E23">
        <w:rPr>
          <w:rFonts w:eastAsiaTheme="minorHAnsi"/>
        </w:rPr>
        <w:t xml:space="preserve"> cieľov OP TP, pričom zohľadňujú</w:t>
      </w:r>
      <w:r w:rsidR="00264E23" w:rsidRPr="00264E23">
        <w:rPr>
          <w:rFonts w:eastAsiaTheme="minorHAnsi"/>
        </w:rPr>
        <w:t xml:space="preserve"> finančné údaje, spoločné a špecifické ukazovatele výsledkov/výstupov týkajúce sa OP TP, vrátane zmien v hodnotách ukazovateľov výsledkov, resp. v</w:t>
      </w:r>
      <w:r w:rsidR="00264E23">
        <w:rPr>
          <w:rFonts w:eastAsiaTheme="minorHAnsi"/>
        </w:rPr>
        <w:t>ýstupov a podľa potreby výsledkov</w:t>
      </w:r>
      <w:r w:rsidR="000D51FE">
        <w:rPr>
          <w:rFonts w:eastAsiaTheme="minorHAnsi"/>
        </w:rPr>
        <w:t xml:space="preserve"> kvalitatívnych analýz, </w:t>
      </w:r>
      <w:r w:rsidR="00264E23" w:rsidRPr="00264E23">
        <w:rPr>
          <w:rFonts w:eastAsiaTheme="minorHAnsi"/>
        </w:rPr>
        <w:t>skúma</w:t>
      </w:r>
      <w:r w:rsidR="000D51FE">
        <w:rPr>
          <w:rFonts w:eastAsiaTheme="minorHAnsi"/>
        </w:rPr>
        <w:t>jú</w:t>
      </w:r>
      <w:r w:rsidR="00264E23" w:rsidRPr="00264E23">
        <w:rPr>
          <w:rFonts w:eastAsiaTheme="minorHAnsi"/>
        </w:rPr>
        <w:t xml:space="preserve"> všetky otázky, ktoré ovplyvňujú výkonnosť OP TP vrátane záve</w:t>
      </w:r>
      <w:r w:rsidR="000D51FE">
        <w:rPr>
          <w:rFonts w:eastAsiaTheme="minorHAnsi"/>
        </w:rPr>
        <w:t xml:space="preserve">rov z preskúmavania výkonnosti, </w:t>
      </w:r>
      <w:r w:rsidR="00264E23" w:rsidRPr="00264E23">
        <w:rPr>
          <w:rFonts w:eastAsiaTheme="minorHAnsi"/>
        </w:rPr>
        <w:t>pre</w:t>
      </w:r>
      <w:r w:rsidR="000D51FE">
        <w:rPr>
          <w:rFonts w:eastAsiaTheme="minorHAnsi"/>
        </w:rPr>
        <w:t>dkladajú</w:t>
      </w:r>
      <w:r w:rsidR="00264E23" w:rsidRPr="00264E23">
        <w:rPr>
          <w:rFonts w:eastAsiaTheme="minorHAnsi"/>
        </w:rPr>
        <w:t xml:space="preserve"> riadiacemu orgánu pripomienky týkajúce sa vykonávania hodnotenia programu, vrátane opatrení súvisiacich so znižovaním administratívnej záťaže pr</w:t>
      </w:r>
      <w:r w:rsidR="000D51FE">
        <w:rPr>
          <w:rFonts w:eastAsiaTheme="minorHAnsi"/>
        </w:rPr>
        <w:t>ijímateľov, a zároveň monitorujú</w:t>
      </w:r>
      <w:r w:rsidR="00264E23" w:rsidRPr="00264E23">
        <w:rPr>
          <w:rFonts w:eastAsiaTheme="minorHAnsi"/>
        </w:rPr>
        <w:t xml:space="preserve"> opatrenia prijaté v nadväz</w:t>
      </w:r>
      <w:r w:rsidR="00445D43">
        <w:rPr>
          <w:rFonts w:eastAsiaTheme="minorHAnsi"/>
        </w:rPr>
        <w:t>nosti na jeho pripomienky.</w:t>
      </w:r>
    </w:p>
    <w:p w:rsidR="00264E23" w:rsidRPr="00264E23" w:rsidRDefault="000D51FE" w:rsidP="00264E23">
      <w:p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>Zároveň sa</w:t>
      </w:r>
      <w:r w:rsidR="00264E23" w:rsidRPr="00264E23">
        <w:rPr>
          <w:rFonts w:eastAsiaTheme="minorHAnsi"/>
        </w:rPr>
        <w:t xml:space="preserve"> vy</w:t>
      </w:r>
      <w:r>
        <w:rPr>
          <w:rFonts w:eastAsiaTheme="minorHAnsi"/>
        </w:rPr>
        <w:t xml:space="preserve">jadrujú najmä k </w:t>
      </w:r>
      <w:r w:rsidR="00264E23" w:rsidRPr="00264E23">
        <w:rPr>
          <w:rFonts w:eastAsiaTheme="minorHAnsi"/>
        </w:rPr>
        <w:t xml:space="preserve">pokroku dosiahnutému pri plnení plánu hodnotenia </w:t>
      </w:r>
      <w:r w:rsidR="00150E32">
        <w:rPr>
          <w:rFonts w:eastAsiaTheme="minorHAnsi"/>
        </w:rPr>
        <w:br/>
      </w:r>
      <w:r w:rsidR="00264E23" w:rsidRPr="00264E23">
        <w:rPr>
          <w:rFonts w:eastAsiaTheme="minorHAnsi"/>
        </w:rPr>
        <w:t>a následným opatreniam prijatým vz</w:t>
      </w:r>
      <w:r>
        <w:rPr>
          <w:rFonts w:eastAsiaTheme="minorHAnsi"/>
        </w:rPr>
        <w:t xml:space="preserve">hľadom na zistenia z hodnotení, </w:t>
      </w:r>
      <w:r w:rsidR="00264E23" w:rsidRPr="00264E23">
        <w:rPr>
          <w:rFonts w:eastAsiaTheme="minorHAnsi"/>
        </w:rPr>
        <w:t>rea</w:t>
      </w:r>
      <w:r>
        <w:rPr>
          <w:rFonts w:eastAsiaTheme="minorHAnsi"/>
        </w:rPr>
        <w:t xml:space="preserve">lizácii komunikačnej stratégie, </w:t>
      </w:r>
      <w:r w:rsidR="00264E23" w:rsidRPr="00264E23">
        <w:rPr>
          <w:rFonts w:eastAsiaTheme="minorHAnsi"/>
        </w:rPr>
        <w:t>dosiahnutému pokroku v rámci realizácie projektov a opatreniam na podporu rovnosti medzi mužmi a ženami a nediskriminácie, vrátane prístupu pre o</w:t>
      </w:r>
      <w:r w:rsidR="00684277">
        <w:rPr>
          <w:rFonts w:eastAsiaTheme="minorHAnsi"/>
        </w:rPr>
        <w:t xml:space="preserve">soby so zdravotným postihnutím, </w:t>
      </w:r>
      <w:r w:rsidR="00264E23" w:rsidRPr="00264E23">
        <w:rPr>
          <w:rFonts w:eastAsiaTheme="minorHAnsi"/>
        </w:rPr>
        <w:t>situácii, ako aj k pokroku pri plnení opatrení na splnenie uplat</w:t>
      </w:r>
      <w:r w:rsidR="00445D43">
        <w:rPr>
          <w:rFonts w:eastAsiaTheme="minorHAnsi"/>
        </w:rPr>
        <w:t>niteľných ex ante kondicionalít.</w:t>
      </w:r>
    </w:p>
    <w:p w:rsidR="00264E23" w:rsidRDefault="00684277" w:rsidP="00264E23">
      <w:p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>V rámci MV OP TP partneri sa spolupodieľajú na skúmaní a schvaľovaní: metodiky a kritérií použitých</w:t>
      </w:r>
      <w:r w:rsidR="00264E23" w:rsidRPr="00264E23">
        <w:rPr>
          <w:rFonts w:eastAsiaTheme="minorHAnsi"/>
        </w:rPr>
        <w:t xml:space="preserve"> pri výbere projektov ako</w:t>
      </w:r>
      <w:r>
        <w:rPr>
          <w:rFonts w:eastAsiaTheme="minorHAnsi"/>
        </w:rPr>
        <w:t xml:space="preserve"> aj každej zmeny týchto kritérií, výročných sprá</w:t>
      </w:r>
      <w:r w:rsidR="00CA36E7">
        <w:rPr>
          <w:rFonts w:eastAsiaTheme="minorHAnsi"/>
        </w:rPr>
        <w:t>v</w:t>
      </w:r>
      <w:r>
        <w:rPr>
          <w:rFonts w:eastAsiaTheme="minorHAnsi"/>
        </w:rPr>
        <w:t xml:space="preserve"> </w:t>
      </w:r>
      <w:r w:rsidR="00150E32">
        <w:rPr>
          <w:rFonts w:eastAsiaTheme="minorHAnsi"/>
        </w:rPr>
        <w:br/>
      </w:r>
      <w:r>
        <w:rPr>
          <w:rFonts w:eastAsiaTheme="minorHAnsi"/>
        </w:rPr>
        <w:t xml:space="preserve">a záverečnej správy o vykonávaní OP TP,  </w:t>
      </w:r>
      <w:r w:rsidR="00264E23" w:rsidRPr="00264E23">
        <w:rPr>
          <w:rFonts w:eastAsiaTheme="minorHAnsi"/>
        </w:rPr>
        <w:t>plán</w:t>
      </w:r>
      <w:r>
        <w:rPr>
          <w:rFonts w:eastAsiaTheme="minorHAnsi"/>
        </w:rPr>
        <w:t>u</w:t>
      </w:r>
      <w:r w:rsidR="00264E23" w:rsidRPr="00264E23">
        <w:rPr>
          <w:rFonts w:eastAsiaTheme="minorHAnsi"/>
        </w:rPr>
        <w:t xml:space="preserve"> hodnotenia OP TP a vše</w:t>
      </w:r>
      <w:r>
        <w:rPr>
          <w:rFonts w:eastAsiaTheme="minorHAnsi"/>
        </w:rPr>
        <w:t>tkých zmien tohto plánu, komunikačnej stratégie pre OP TP a všetkých zmien tejto stratégie, všetkých návrhov</w:t>
      </w:r>
      <w:r w:rsidR="00264E23" w:rsidRPr="00264E23">
        <w:rPr>
          <w:rFonts w:eastAsiaTheme="minorHAnsi"/>
        </w:rPr>
        <w:t xml:space="preserve"> riadiaceho orgánu na revíziu OP TP pred ich oficiálnym zaslaním EK.</w:t>
      </w:r>
    </w:p>
    <w:p w:rsidR="00911A4D" w:rsidRDefault="00684277" w:rsidP="00542440">
      <w:pPr>
        <w:spacing w:after="200" w:line="276" w:lineRule="auto"/>
        <w:jc w:val="both"/>
        <w:rPr>
          <w:rFonts w:eastAsiaTheme="minorHAnsi"/>
        </w:rPr>
      </w:pPr>
      <w:r>
        <w:rPr>
          <w:rFonts w:eastAsiaTheme="minorHAnsi"/>
        </w:rPr>
        <w:t>V roku 2016 sa konali 2 zasadnutia MV OP TP. Na zasadnutí</w:t>
      </w:r>
      <w:r w:rsidR="00A51268">
        <w:rPr>
          <w:rFonts w:eastAsiaTheme="minorHAnsi"/>
        </w:rPr>
        <w:t xml:space="preserve"> o rozhodovaní písomnou procedúrou</w:t>
      </w:r>
      <w:r>
        <w:rPr>
          <w:rFonts w:eastAsiaTheme="minorHAnsi"/>
        </w:rPr>
        <w:t xml:space="preserve"> zo dňa </w:t>
      </w:r>
      <w:r w:rsidR="00A51268">
        <w:rPr>
          <w:rFonts w:eastAsiaTheme="minorHAnsi"/>
        </w:rPr>
        <w:t>0</w:t>
      </w:r>
      <w:r>
        <w:rPr>
          <w:rFonts w:eastAsiaTheme="minorHAnsi"/>
        </w:rPr>
        <w:t>1.</w:t>
      </w:r>
      <w:r w:rsidR="00A51268">
        <w:rPr>
          <w:rFonts w:eastAsiaTheme="minorHAnsi"/>
        </w:rPr>
        <w:t xml:space="preserve"> 0</w:t>
      </w:r>
      <w:r>
        <w:rPr>
          <w:rFonts w:eastAsiaTheme="minorHAnsi"/>
        </w:rPr>
        <w:t>4.</w:t>
      </w:r>
      <w:r w:rsidR="00A51268">
        <w:rPr>
          <w:rFonts w:eastAsiaTheme="minorHAnsi"/>
        </w:rPr>
        <w:t xml:space="preserve"> </w:t>
      </w:r>
      <w:r>
        <w:rPr>
          <w:rFonts w:eastAsiaTheme="minorHAnsi"/>
        </w:rPr>
        <w:t>2016 bol schválený návrh revízie OP TP</w:t>
      </w:r>
      <w:r w:rsidR="00A51268">
        <w:rPr>
          <w:rFonts w:eastAsiaTheme="minorHAnsi"/>
        </w:rPr>
        <w:t xml:space="preserve"> pre programové obdobie</w:t>
      </w:r>
      <w:r w:rsidR="00CA36E7">
        <w:rPr>
          <w:rFonts w:eastAsiaTheme="minorHAnsi"/>
        </w:rPr>
        <w:t xml:space="preserve"> (ďalej aj „PO“)</w:t>
      </w:r>
      <w:r w:rsidR="00A51268">
        <w:rPr>
          <w:rFonts w:eastAsiaTheme="minorHAnsi"/>
        </w:rPr>
        <w:t xml:space="preserve"> 2014-2020, verzie 3.0. </w:t>
      </w:r>
      <w:r w:rsidR="00CA36E7">
        <w:rPr>
          <w:rFonts w:eastAsiaTheme="minorHAnsi"/>
        </w:rPr>
        <w:t>N</w:t>
      </w:r>
      <w:r w:rsidR="00A51268">
        <w:rPr>
          <w:rFonts w:eastAsiaTheme="minorHAnsi"/>
        </w:rPr>
        <w:t xml:space="preserve">a riadnom zasadnutí MV OP TP zo dňa 25. 05. 2016 </w:t>
      </w:r>
      <w:r w:rsidR="00CA36E7">
        <w:rPr>
          <w:rFonts w:eastAsiaTheme="minorHAnsi"/>
        </w:rPr>
        <w:t>bola schválená Výročná správa OP TP p</w:t>
      </w:r>
      <w:r w:rsidR="00BA78FB">
        <w:rPr>
          <w:rFonts w:eastAsiaTheme="minorHAnsi"/>
        </w:rPr>
        <w:t>re PO 2014-2020 za roky 2014-2015</w:t>
      </w:r>
      <w:r w:rsidR="00CA36E7">
        <w:rPr>
          <w:rFonts w:eastAsiaTheme="minorHAnsi"/>
        </w:rPr>
        <w:t xml:space="preserve"> (ďalej aj Výročná správa“) a revízia OP TP na PO 2014-2020, verzia 3.1. Partneri sa v rámci týchto zasadnutí </w:t>
      </w:r>
      <w:r w:rsidR="00CA36E7">
        <w:rPr>
          <w:rFonts w:eastAsiaTheme="minorHAnsi"/>
        </w:rPr>
        <w:lastRenderedPageBreak/>
        <w:t>aktívne podieľali najmä na pripomienkovaní jednotlivých verzií návrhov revízií OP TP, ako aj pri pripomienkovaní Výročnej správy.</w:t>
      </w:r>
    </w:p>
    <w:p w:rsidR="000979ED" w:rsidRDefault="00542440" w:rsidP="004A0ED8">
      <w:pPr>
        <w:pStyle w:val="MPCKO3"/>
        <w:rPr>
          <w:rFonts w:eastAsiaTheme="minorHAnsi"/>
        </w:rPr>
      </w:pPr>
      <w:bookmarkStart w:id="34" w:name="_Toc428367967"/>
      <w:bookmarkStart w:id="35" w:name="_Toc482173558"/>
      <w:r>
        <w:rPr>
          <w:rFonts w:eastAsiaTheme="minorHAnsi"/>
        </w:rPr>
        <w:t>I.</w:t>
      </w:r>
      <w:r w:rsidRPr="00AA7D81">
        <w:rPr>
          <w:rFonts w:eastAsiaTheme="minorHAnsi"/>
        </w:rPr>
        <w:t>12.  Povinné informácie</w:t>
      </w:r>
      <w:r>
        <w:rPr>
          <w:rFonts w:eastAsiaTheme="minorHAnsi"/>
        </w:rPr>
        <w:t xml:space="preserve"> a posúdenia</w:t>
      </w:r>
      <w:r w:rsidRPr="00AA7D81">
        <w:rPr>
          <w:rFonts w:eastAsiaTheme="minorHAnsi"/>
        </w:rPr>
        <w:t xml:space="preserve"> podľa článku 111 (4) </w:t>
      </w:r>
      <w:r>
        <w:rPr>
          <w:rFonts w:eastAsiaTheme="minorHAnsi"/>
        </w:rPr>
        <w:t xml:space="preserve">§1, (a) a (b) </w:t>
      </w:r>
      <w:r w:rsidRPr="00AA7D81">
        <w:rPr>
          <w:rFonts w:eastAsiaTheme="minorHAnsi"/>
        </w:rPr>
        <w:t>nariadenia</w:t>
      </w:r>
      <w:r>
        <w:rPr>
          <w:rFonts w:eastAsiaTheme="minorHAnsi"/>
        </w:rPr>
        <w:t xml:space="preserve"> </w:t>
      </w:r>
      <w:r w:rsidRPr="00AA7D81">
        <w:rPr>
          <w:rFonts w:eastAsiaTheme="minorHAnsi"/>
        </w:rPr>
        <w:t>EP a Rady (EÚ) č. 1303/2013</w:t>
      </w:r>
      <w:r>
        <w:rPr>
          <w:rFonts w:eastAsiaTheme="minorHAnsi"/>
        </w:rPr>
        <w:t xml:space="preserve"> a článku </w:t>
      </w:r>
      <w:r w:rsidRPr="00AA7D81">
        <w:rPr>
          <w:rFonts w:eastAsiaTheme="minorHAnsi"/>
        </w:rPr>
        <w:t>1</w:t>
      </w:r>
      <w:r>
        <w:rPr>
          <w:rFonts w:eastAsiaTheme="minorHAnsi"/>
        </w:rPr>
        <w:t>4</w:t>
      </w:r>
      <w:r w:rsidRPr="00AA7D81">
        <w:rPr>
          <w:rFonts w:eastAsiaTheme="minorHAnsi"/>
        </w:rPr>
        <w:t xml:space="preserve"> (4) </w:t>
      </w:r>
      <w:r>
        <w:rPr>
          <w:rFonts w:eastAsiaTheme="minorHAnsi"/>
        </w:rPr>
        <w:t xml:space="preserve">§1, (a) a (b) </w:t>
      </w:r>
      <w:r w:rsidRPr="00AA7D81">
        <w:rPr>
          <w:rFonts w:eastAsiaTheme="minorHAnsi"/>
        </w:rPr>
        <w:t>nariadenia</w:t>
      </w:r>
      <w:r>
        <w:rPr>
          <w:rFonts w:eastAsiaTheme="minorHAnsi"/>
        </w:rPr>
        <w:t xml:space="preserve"> </w:t>
      </w:r>
      <w:r w:rsidRPr="00AA7D81">
        <w:rPr>
          <w:rFonts w:eastAsiaTheme="minorHAnsi"/>
        </w:rPr>
        <w:t xml:space="preserve">EP a Rady (EÚ) </w:t>
      </w:r>
      <w:r w:rsidR="00150E32">
        <w:rPr>
          <w:rFonts w:eastAsiaTheme="minorHAnsi"/>
        </w:rPr>
        <w:br/>
      </w:r>
      <w:r w:rsidRPr="00AA7D81">
        <w:rPr>
          <w:rFonts w:eastAsiaTheme="minorHAnsi"/>
        </w:rPr>
        <w:t>č. 1</w:t>
      </w:r>
      <w:r>
        <w:rPr>
          <w:rFonts w:eastAsiaTheme="minorHAnsi"/>
        </w:rPr>
        <w:t>299</w:t>
      </w:r>
      <w:r w:rsidRPr="00AA7D81">
        <w:rPr>
          <w:rFonts w:eastAsiaTheme="minorHAnsi"/>
        </w:rPr>
        <w:t>/2013</w:t>
      </w:r>
      <w:bookmarkEnd w:id="34"/>
      <w:bookmarkEnd w:id="35"/>
    </w:p>
    <w:p w:rsidR="00DF423F" w:rsidRDefault="00DF423F" w:rsidP="00DF423F">
      <w:pPr>
        <w:pStyle w:val="MPCKO4"/>
        <w:rPr>
          <w:rFonts w:eastAsiaTheme="minorHAnsi"/>
        </w:rPr>
      </w:pPr>
      <w:bookmarkStart w:id="36" w:name="_Toc428367968"/>
      <w:r>
        <w:rPr>
          <w:rFonts w:eastAsiaTheme="minorHAnsi"/>
        </w:rPr>
        <w:t>I.</w:t>
      </w:r>
      <w:r w:rsidRPr="00AA7D81">
        <w:rPr>
          <w:rFonts w:eastAsiaTheme="minorHAnsi"/>
        </w:rPr>
        <w:t>12.1 Pokrok pri plnení plánu hodnotenia a následných opatrení prijatých v</w:t>
      </w:r>
      <w:r>
        <w:rPr>
          <w:rFonts w:eastAsiaTheme="minorHAnsi"/>
        </w:rPr>
        <w:t xml:space="preserve"> nadväznosti</w:t>
      </w:r>
      <w:r w:rsidRPr="00AA7D81">
        <w:rPr>
          <w:rFonts w:eastAsiaTheme="minorHAnsi"/>
        </w:rPr>
        <w:t xml:space="preserve"> na zistenia hodnotení</w:t>
      </w:r>
      <w:bookmarkEnd w:id="36"/>
      <w:r w:rsidRPr="00AA7D81">
        <w:rPr>
          <w:rFonts w:eastAsiaTheme="minorHAnsi"/>
        </w:rPr>
        <w:t xml:space="preserve"> </w:t>
      </w:r>
    </w:p>
    <w:p w:rsidR="00360D64" w:rsidRPr="000979ED" w:rsidRDefault="00360D64" w:rsidP="00087513">
      <w:pPr>
        <w:rPr>
          <w:rFonts w:eastAsiaTheme="minorHAnsi"/>
        </w:rPr>
      </w:pPr>
    </w:p>
    <w:p w:rsidR="0019550C" w:rsidRPr="00AA5CDF" w:rsidRDefault="0019550C" w:rsidP="0019550C">
      <w:pPr>
        <w:jc w:val="both"/>
        <w:rPr>
          <w:rFonts w:eastAsiaTheme="minorHAnsi"/>
          <w:lang w:eastAsia="en-US"/>
        </w:rPr>
      </w:pPr>
      <w:r w:rsidRPr="009221A3">
        <w:rPr>
          <w:rFonts w:eastAsiaTheme="minorHAnsi"/>
          <w:lang w:eastAsia="en-US"/>
        </w:rPr>
        <w:t xml:space="preserve">V sledovanom období </w:t>
      </w:r>
      <w:r w:rsidRPr="00AA5CDF">
        <w:rPr>
          <w:rFonts w:eastAsiaTheme="minorHAnsi"/>
          <w:lang w:eastAsia="en-US"/>
        </w:rPr>
        <w:t xml:space="preserve">došlo k posunu výkonu ex post hodnotenia OP TP 2007 – 2013, ktorého časový harmonogram bol plánovaný na obdobie 03/2016 – 12/2016. Výkon hodnotenia začal RO OP TP dňa 27. 10. 2016. Hodnotenie sa realizovalo externou formou </w:t>
      </w:r>
      <w:r>
        <w:rPr>
          <w:rFonts w:eastAsiaTheme="minorHAnsi"/>
          <w:lang w:eastAsia="en-US"/>
        </w:rPr>
        <w:br/>
      </w:r>
      <w:r w:rsidRPr="00AA5CDF">
        <w:rPr>
          <w:rFonts w:eastAsiaTheme="minorHAnsi"/>
          <w:lang w:eastAsia="en-US"/>
        </w:rPr>
        <w:t>s</w:t>
      </w:r>
      <w:r>
        <w:rPr>
          <w:rFonts w:eastAsiaTheme="minorHAnsi"/>
          <w:lang w:eastAsia="en-US"/>
        </w:rPr>
        <w:t xml:space="preserve"> plánovaným termínom ukončenia </w:t>
      </w:r>
      <w:r w:rsidRPr="00AA5CDF">
        <w:rPr>
          <w:rFonts w:eastAsiaTheme="minorHAnsi"/>
          <w:lang w:eastAsia="en-US"/>
        </w:rPr>
        <w:t xml:space="preserve">31. 01. 2017. K uvedenému časovému posunu došlo </w:t>
      </w:r>
      <w:r>
        <w:rPr>
          <w:rFonts w:eastAsiaTheme="minorHAnsi"/>
          <w:lang w:eastAsia="en-US"/>
        </w:rPr>
        <w:br/>
      </w:r>
      <w:r w:rsidRPr="00AA5CDF">
        <w:rPr>
          <w:rFonts w:eastAsiaTheme="minorHAnsi"/>
          <w:lang w:eastAsia="en-US"/>
        </w:rPr>
        <w:t xml:space="preserve">z toho dôvodu, že v priebehu roka 2016 prebiehalo ukončovanie programového obdobia 2007 – 2013 a RO OP TP nemal k dispozícii finálne údaje relevantné pre hodnotenie. </w:t>
      </w:r>
    </w:p>
    <w:p w:rsidR="0019550C" w:rsidRDefault="0019550C" w:rsidP="0019550C">
      <w:pPr>
        <w:jc w:val="both"/>
        <w:rPr>
          <w:rFonts w:eastAsiaTheme="minorHAnsi"/>
          <w:lang w:eastAsia="en-US"/>
        </w:rPr>
      </w:pPr>
    </w:p>
    <w:p w:rsidR="0019550C" w:rsidRPr="00AA5CDF" w:rsidRDefault="0019550C" w:rsidP="0019550C">
      <w:pPr>
        <w:jc w:val="both"/>
        <w:rPr>
          <w:rFonts w:eastAsiaTheme="minorHAnsi"/>
          <w:lang w:eastAsia="en-US"/>
        </w:rPr>
      </w:pPr>
      <w:r w:rsidRPr="00AA5CDF">
        <w:rPr>
          <w:rFonts w:eastAsiaTheme="minorHAnsi"/>
          <w:lang w:eastAsia="en-US"/>
        </w:rPr>
        <w:t>Časový harmonogram pravidelného ročného hodnotenia plnenia cieľov na úrovni prioritných osí a špecifických cieľov OP TP do 31. 12. 2016 (priebežné hodnotenie OP TP) bol plánovaný na obdobie 08/2016 – 12/2016. Výkon hodnotenia bude realizovaný v roku 2017. Časový posun je spôsobený rovnako nedostatkom potrebných údajov, nakoľko RO OP TP začal vyhlasovať vyzvania pre projekty technickej pomoci vo februári 2016, nasledovalo kontrahovanie, implementácia projektov a predkladanie prvých monitorovacích správ k 31. 12. 2016. Potrebné údaje relevantné pre hodnotenie mal RO OP TP k dispozícii až po uvedenom termíne.</w:t>
      </w:r>
    </w:p>
    <w:p w:rsidR="003C7716" w:rsidRDefault="003C7716" w:rsidP="00087513">
      <w:pPr>
        <w:jc w:val="both"/>
        <w:rPr>
          <w:rFonts w:eastAsiaTheme="minorHAnsi"/>
          <w:lang w:eastAsia="en-US"/>
        </w:rPr>
      </w:pPr>
    </w:p>
    <w:p w:rsidR="0019550C" w:rsidRDefault="0019550C" w:rsidP="00087513">
      <w:pPr>
        <w:jc w:val="both"/>
        <w:rPr>
          <w:rFonts w:eastAsiaTheme="minorHAnsi"/>
          <w:lang w:eastAsia="en-US"/>
        </w:rPr>
      </w:pPr>
      <w:r w:rsidRPr="00AA5CDF">
        <w:rPr>
          <w:rFonts w:eastAsiaTheme="minorHAnsi"/>
          <w:lang w:eastAsia="en-US"/>
        </w:rPr>
        <w:t>Na obdobie 08/2016 – 03/2017 bol plánovaný výkon 1. strategické</w:t>
      </w:r>
      <w:r>
        <w:rPr>
          <w:rFonts w:eastAsiaTheme="minorHAnsi"/>
          <w:lang w:eastAsia="en-US"/>
        </w:rPr>
        <w:t xml:space="preserve">ho hodnotenia systému riadenia </w:t>
      </w:r>
      <w:r w:rsidRPr="00AA5CDF">
        <w:rPr>
          <w:rFonts w:eastAsiaTheme="minorHAnsi"/>
          <w:lang w:eastAsia="en-US"/>
        </w:rPr>
        <w:t xml:space="preserve">a kontroly OP TP z pohľadu efektívnosti a účinnosti jeho fungovania. Opodstatnenie jeho realizácie posúdi RO OP TP v roku 2017. </w:t>
      </w:r>
    </w:p>
    <w:p w:rsidR="00C01488" w:rsidRPr="00F41510" w:rsidRDefault="00C01488" w:rsidP="00087513">
      <w:pPr>
        <w:jc w:val="both"/>
        <w:rPr>
          <w:rFonts w:eastAsiaTheme="minorHAnsi"/>
          <w:lang w:eastAsia="en-US"/>
        </w:rPr>
      </w:pPr>
    </w:p>
    <w:p w:rsidR="00542440" w:rsidRDefault="00542440" w:rsidP="00542440">
      <w:pPr>
        <w:pStyle w:val="MPCKO4"/>
        <w:rPr>
          <w:rFonts w:eastAsiaTheme="minorHAnsi"/>
        </w:rPr>
      </w:pPr>
      <w:bookmarkStart w:id="37" w:name="_Toc428367969"/>
      <w:bookmarkStart w:id="38" w:name="_Toc482173559"/>
      <w:r>
        <w:rPr>
          <w:rFonts w:eastAsiaTheme="minorHAnsi"/>
        </w:rPr>
        <w:t>I.</w:t>
      </w:r>
      <w:r w:rsidRPr="00AA7D81">
        <w:rPr>
          <w:rFonts w:eastAsiaTheme="minorHAnsi"/>
        </w:rPr>
        <w:t>12.2 Výsledky opatrení fondov na informovanie a publicitu realizovaných v rámci komunikačnej stratégie</w:t>
      </w:r>
      <w:bookmarkEnd w:id="37"/>
      <w:bookmarkEnd w:id="38"/>
      <w:r w:rsidRPr="00AA7D81">
        <w:rPr>
          <w:rFonts w:eastAsiaTheme="minorHAnsi"/>
        </w:rPr>
        <w:t xml:space="preserve"> </w:t>
      </w:r>
    </w:p>
    <w:p w:rsidR="00EF0E71" w:rsidRDefault="00EF0E71" w:rsidP="00087513">
      <w:pPr>
        <w:rPr>
          <w:rFonts w:eastAsiaTheme="minorHAnsi"/>
        </w:rPr>
      </w:pPr>
    </w:p>
    <w:p w:rsidR="004F2ADA" w:rsidRDefault="007951FA" w:rsidP="00087513">
      <w:pPr>
        <w:jc w:val="both"/>
        <w:rPr>
          <w:rFonts w:eastAsiaTheme="minorHAnsi"/>
        </w:rPr>
      </w:pPr>
      <w:r>
        <w:rPr>
          <w:rFonts w:eastAsiaTheme="minorHAnsi"/>
        </w:rPr>
        <w:t xml:space="preserve">V roku 2016 v zmysle </w:t>
      </w:r>
      <w:r w:rsidR="007078B1" w:rsidRPr="007078B1">
        <w:rPr>
          <w:rFonts w:eastAsiaTheme="minorHAnsi"/>
        </w:rPr>
        <w:t>informač</w:t>
      </w:r>
      <w:r>
        <w:rPr>
          <w:rFonts w:eastAsiaTheme="minorHAnsi"/>
        </w:rPr>
        <w:t>ných a komunikačných opatrení</w:t>
      </w:r>
      <w:r w:rsidR="007078B1" w:rsidRPr="007078B1">
        <w:rPr>
          <w:rFonts w:eastAsiaTheme="minorHAnsi"/>
        </w:rPr>
        <w:t>, ktoré sa uskutočňujú prostredníctvom</w:t>
      </w:r>
      <w:r w:rsidR="004F2ADA">
        <w:rPr>
          <w:rFonts w:eastAsiaTheme="minorHAnsi"/>
        </w:rPr>
        <w:t xml:space="preserve"> jednotlivých aktivít projektov sa</w:t>
      </w:r>
      <w:r w:rsidR="007078B1" w:rsidRPr="007078B1">
        <w:rPr>
          <w:rFonts w:eastAsiaTheme="minorHAnsi"/>
        </w:rPr>
        <w:t xml:space="preserve"> na základe Ročného komunikačného plánu 2016</w:t>
      </w:r>
      <w:r w:rsidR="004F2ADA">
        <w:rPr>
          <w:rFonts w:eastAsiaTheme="minorHAnsi"/>
        </w:rPr>
        <w:t xml:space="preserve"> uskutočnili nasledovné aktivity: </w:t>
      </w:r>
      <w:r w:rsidR="00EF0E71">
        <w:rPr>
          <w:rFonts w:eastAsiaTheme="minorHAnsi"/>
        </w:rPr>
        <w:t xml:space="preserve"> Mladý Európan 2016, </w:t>
      </w:r>
      <w:r w:rsidR="00EF0E71" w:rsidRPr="00EF0E71">
        <w:rPr>
          <w:rFonts w:eastAsiaTheme="minorHAnsi"/>
        </w:rPr>
        <w:t xml:space="preserve">Súťaž videoreportáží a spotov – „Ako štrukturálne </w:t>
      </w:r>
      <w:r w:rsidR="00EF0E71">
        <w:rPr>
          <w:rFonts w:eastAsiaTheme="minorHAnsi"/>
        </w:rPr>
        <w:t xml:space="preserve">fondy pomohli môjmu mestu 2016“, </w:t>
      </w:r>
      <w:r w:rsidR="00EF0E71" w:rsidRPr="00EF0E71">
        <w:rPr>
          <w:rFonts w:eastAsiaTheme="minorHAnsi"/>
        </w:rPr>
        <w:t>Ukončovacia reklamná a mediálna kampaň pre OPTP 2007-2013</w:t>
      </w:r>
      <w:r w:rsidR="00EF0E71">
        <w:rPr>
          <w:rFonts w:eastAsiaTheme="minorHAnsi"/>
        </w:rPr>
        <w:t xml:space="preserve">, </w:t>
      </w:r>
      <w:r w:rsidR="00EF0E71" w:rsidRPr="00EF0E71">
        <w:rPr>
          <w:rFonts w:eastAsiaTheme="minorHAnsi"/>
        </w:rPr>
        <w:t>Realizácia úvodnej mediálnej kampane v rámci komunikačnej stratégie OPTP pre Partnerskú dohodu na roky 2014-2020</w:t>
      </w:r>
      <w:r w:rsidR="00EF0E71">
        <w:rPr>
          <w:rFonts w:eastAsiaTheme="minorHAnsi"/>
        </w:rPr>
        <w:t xml:space="preserve">, </w:t>
      </w:r>
      <w:r w:rsidR="007078B1" w:rsidRPr="007078B1">
        <w:rPr>
          <w:rFonts w:eastAsiaTheme="minorHAnsi"/>
        </w:rPr>
        <w:t xml:space="preserve"> v</w:t>
      </w:r>
      <w:r w:rsidR="004F2ADA">
        <w:rPr>
          <w:rFonts w:eastAsiaTheme="minorHAnsi"/>
        </w:rPr>
        <w:t xml:space="preserve">ydanie časopisu Eurokompas </w:t>
      </w:r>
      <w:r w:rsidR="00150E32">
        <w:rPr>
          <w:rFonts w:eastAsiaTheme="minorHAnsi"/>
        </w:rPr>
        <w:br/>
      </w:r>
      <w:r w:rsidR="004F2ADA">
        <w:rPr>
          <w:rFonts w:eastAsiaTheme="minorHAnsi"/>
        </w:rPr>
        <w:t>a j</w:t>
      </w:r>
      <w:r w:rsidR="00EF0E71">
        <w:rPr>
          <w:rFonts w:eastAsiaTheme="minorHAnsi"/>
        </w:rPr>
        <w:t>e</w:t>
      </w:r>
      <w:r w:rsidR="004F2ADA">
        <w:rPr>
          <w:rFonts w:eastAsiaTheme="minorHAnsi"/>
        </w:rPr>
        <w:t>ho</w:t>
      </w:r>
      <w:r w:rsidR="007078B1" w:rsidRPr="007078B1">
        <w:rPr>
          <w:rFonts w:eastAsiaTheme="minorHAnsi"/>
        </w:rPr>
        <w:t xml:space="preserve"> prílohy, zabezpečovanie aktivity R</w:t>
      </w:r>
      <w:r w:rsidR="004F2ADA">
        <w:rPr>
          <w:rFonts w:eastAsiaTheme="minorHAnsi"/>
        </w:rPr>
        <w:t>oad  Show 2016, Dni Európy</w:t>
      </w:r>
      <w:r w:rsidR="00EF0E71">
        <w:rPr>
          <w:rFonts w:eastAsiaTheme="minorHAnsi"/>
        </w:rPr>
        <w:t xml:space="preserve">, publikácia Hodnotenie, vzdelávacie aktivity pre </w:t>
      </w:r>
      <w:r w:rsidR="004F2ADA">
        <w:rPr>
          <w:rFonts w:eastAsiaTheme="minorHAnsi"/>
        </w:rPr>
        <w:t xml:space="preserve"> </w:t>
      </w:r>
      <w:r w:rsidR="00EF0E71" w:rsidRPr="00EF0E71">
        <w:rPr>
          <w:rFonts w:eastAsiaTheme="minorHAnsi"/>
        </w:rPr>
        <w:t>administratívne kapacity EŠIF a ostatných zamestnancov ÚV SR</w:t>
      </w:r>
      <w:r w:rsidR="00EF0E71">
        <w:rPr>
          <w:rFonts w:eastAsiaTheme="minorHAnsi"/>
        </w:rPr>
        <w:t xml:space="preserve"> zamerané na Korupcia a trestné činy poškodzovania finančných záujmov EÚ, Verejné obstarávanie – Zákon č. 343/2015 Z. z. o verejnom obstarávaní a o zmene a doplnení niektorých zákonov, </w:t>
      </w:r>
      <w:r w:rsidR="00EF0E71" w:rsidRPr="00EF0E71">
        <w:rPr>
          <w:rFonts w:eastAsiaTheme="minorHAnsi"/>
        </w:rPr>
        <w:t>Aktuálne otázky Informovanosti a komunikácie 2014 - 2020; Záťažová komunikácia v praxi alebo asertívne riešenie konfliktov na pracovisku  s interným aj externým klientom; Centrálny plán vzdelávania a elektronický portál pre vzdelávanie AK EŠIF; a iné.</w:t>
      </w:r>
    </w:p>
    <w:p w:rsidR="009C35FB" w:rsidRDefault="009C35FB" w:rsidP="00087513">
      <w:pPr>
        <w:jc w:val="both"/>
        <w:rPr>
          <w:rFonts w:eastAsiaTheme="minorHAnsi"/>
        </w:rPr>
      </w:pPr>
    </w:p>
    <w:p w:rsidR="009C35FB" w:rsidRDefault="009C35FB" w:rsidP="00087513">
      <w:pPr>
        <w:jc w:val="both"/>
        <w:rPr>
          <w:rFonts w:eastAsiaTheme="minorHAnsi"/>
        </w:rPr>
      </w:pPr>
      <w:r>
        <w:rPr>
          <w:rFonts w:eastAsiaTheme="minorHAnsi"/>
        </w:rPr>
        <w:lastRenderedPageBreak/>
        <w:t>Okrem uvedených aktivít sa uskutočnili aj zasadnutia</w:t>
      </w:r>
      <w:r w:rsidR="009C2911">
        <w:rPr>
          <w:rFonts w:eastAsiaTheme="minorHAnsi"/>
        </w:rPr>
        <w:t xml:space="preserve"> (2 zasadnutia)</w:t>
      </w:r>
      <w:r>
        <w:rPr>
          <w:rFonts w:eastAsiaTheme="minorHAnsi"/>
        </w:rPr>
        <w:t xml:space="preserve"> </w:t>
      </w:r>
      <w:r w:rsidR="009C2911">
        <w:rPr>
          <w:rFonts w:eastAsiaTheme="minorHAnsi"/>
        </w:rPr>
        <w:t>pracovnej skupiny pre informovanie a komunikáciu kde boli prerokované</w:t>
      </w:r>
      <w:r w:rsidR="009C2911">
        <w:t xml:space="preserve"> </w:t>
      </w:r>
      <w:r w:rsidR="009C2911" w:rsidRPr="009C2911">
        <w:rPr>
          <w:rFonts w:eastAsiaTheme="minorHAnsi"/>
        </w:rPr>
        <w:t>aktuálne i</w:t>
      </w:r>
      <w:r w:rsidR="009C2911">
        <w:rPr>
          <w:rFonts w:eastAsiaTheme="minorHAnsi"/>
        </w:rPr>
        <w:t>nformácie a problémy, spolupráca a koordinácia</w:t>
      </w:r>
      <w:r w:rsidR="009C2911" w:rsidRPr="009C2911">
        <w:rPr>
          <w:rFonts w:eastAsiaTheme="minorHAnsi"/>
        </w:rPr>
        <w:t xml:space="preserve"> niektorých postupov a aktivít v oblasti informovania a komunikácie.</w:t>
      </w:r>
    </w:p>
    <w:p w:rsidR="007078B1" w:rsidRDefault="004F2ADA" w:rsidP="007078B1">
      <w:pPr>
        <w:spacing w:before="120" w:after="240"/>
        <w:jc w:val="both"/>
        <w:rPr>
          <w:rFonts w:eastAsiaTheme="minorHAnsi"/>
        </w:rPr>
      </w:pPr>
      <w:r>
        <w:rPr>
          <w:rFonts w:eastAsiaTheme="minorHAnsi"/>
        </w:rPr>
        <w:t>Z</w:t>
      </w:r>
      <w:r w:rsidR="007078B1" w:rsidRPr="007078B1">
        <w:rPr>
          <w:rFonts w:eastAsiaTheme="minorHAnsi"/>
        </w:rPr>
        <w:t>verejňovanie údajov a informácií na zvyšovanie povedomia o fondoch prebieha prostredníctvom týchto nástrojov</w:t>
      </w:r>
      <w:r>
        <w:rPr>
          <w:rFonts w:eastAsiaTheme="minorHAnsi"/>
        </w:rPr>
        <w:t>:</w:t>
      </w:r>
      <w:r w:rsidR="007078B1" w:rsidRPr="007078B1">
        <w:rPr>
          <w:rFonts w:eastAsiaTheme="minorHAnsi"/>
        </w:rPr>
        <w:t xml:space="preserve"> </w:t>
      </w:r>
      <w:r>
        <w:rPr>
          <w:rFonts w:eastAsiaTheme="minorHAnsi"/>
        </w:rPr>
        <w:t>webový portál</w:t>
      </w:r>
      <w:r w:rsidR="007078B1" w:rsidRPr="007078B1">
        <w:rPr>
          <w:rFonts w:eastAsiaTheme="minorHAnsi"/>
        </w:rPr>
        <w:t xml:space="preserve"> www.partnerskadohoda.gov.sk alebo www.eufondy.sk (</w:t>
      </w:r>
      <w:r>
        <w:rPr>
          <w:rFonts w:eastAsiaTheme="minorHAnsi"/>
        </w:rPr>
        <w:t>v nich sa zverejňujú aktuálne informácií, vyhlásené výzvy a vyzvania, aktuálne udalosti spojené s EŠIF, metodické pokyny a pod.), časopis</w:t>
      </w:r>
      <w:r w:rsidR="007078B1" w:rsidRPr="007078B1">
        <w:rPr>
          <w:rFonts w:eastAsiaTheme="minorHAnsi"/>
        </w:rPr>
        <w:t xml:space="preserve"> Eurokompas (zverejňovanie článkov), zabezpečovanie jednotlivých aktivít podľa Ročného komunikačného plánu (Road show 2016).</w:t>
      </w:r>
      <w:r w:rsidR="00EF0E71">
        <w:rPr>
          <w:rFonts w:eastAsiaTheme="minorHAnsi"/>
        </w:rPr>
        <w:t xml:space="preserve"> Komunikáciu v súvislosti s implementáciou EŠIF sa uskutočňovala aj na facebookovom profile @euuvsr, na ktorom sa objavovali aktuálne informácie o aktivitách komunikácie v oblasti čerpania pomoci EÚ. V rámci priblíženia E</w:t>
      </w:r>
      <w:r w:rsidR="009C35FB">
        <w:rPr>
          <w:rFonts w:eastAsiaTheme="minorHAnsi"/>
        </w:rPr>
        <w:t>ŠIF sa plánuje spustenie kanaálu na youtube.com pod názvom EUROFONDY, na ktorom budú uverejnené videospoty, videonews a ostatné videá, ktoré budú prezentovať EÚ fondy na Slovensku.</w:t>
      </w:r>
    </w:p>
    <w:p w:rsidR="009C2911" w:rsidRDefault="009C2911" w:rsidP="007078B1">
      <w:pPr>
        <w:spacing w:before="120" w:after="240"/>
        <w:jc w:val="both"/>
        <w:rPr>
          <w:rFonts w:eastAsiaTheme="minorHAnsi"/>
        </w:rPr>
      </w:pPr>
      <w:r>
        <w:rPr>
          <w:rFonts w:eastAsiaTheme="minorHAnsi"/>
        </w:rPr>
        <w:t xml:space="preserve">Pre oblasť zvýšenia informovanosti o EŠIF bolo zriadené aj informačné centrum, ktoré </w:t>
      </w:r>
      <w:r w:rsidRPr="009C2911">
        <w:rPr>
          <w:rFonts w:eastAsiaTheme="minorHAnsi"/>
        </w:rPr>
        <w:t>zabezpečuje aktuálne a komplexné informácie všetkým žiadateľom o informácie, či už prostredníctvom telefonických a emailových kontaktov (cez adresy cko@vlada.gov.sk, eufondy@vlada.gov.sk ) alebo osobných návštev  priamo v Informačnom centre, ktorého úlohy plní odbor informovanosti a publicity ÚV SR. V roku 2016 boli žiadateľom poskytnuté informácie prostredníctvom 163 e-mailových kontaktov, 152  telefonických kontaktov  a 43  osobných konzultácií.</w:t>
      </w:r>
    </w:p>
    <w:p w:rsidR="00542440" w:rsidRDefault="00542440" w:rsidP="00542440">
      <w:pPr>
        <w:pStyle w:val="MPCKO3"/>
        <w:rPr>
          <w:rFonts w:eastAsiaTheme="minorHAnsi"/>
        </w:rPr>
      </w:pPr>
      <w:bookmarkStart w:id="39" w:name="_Toc428367970"/>
      <w:bookmarkStart w:id="40" w:name="_Toc482173560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13. </w:t>
      </w:r>
      <w:r>
        <w:rPr>
          <w:rFonts w:eastAsiaTheme="minorHAnsi"/>
          <w:lang w:eastAsia="en-US"/>
        </w:rPr>
        <w:t>Opatrenia</w:t>
      </w:r>
      <w:r w:rsidRPr="00AA7D8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prijaté na splnenie ex ante kondicionalít</w:t>
      </w:r>
      <w:r w:rsidRPr="00341EA3">
        <w:rPr>
          <w:rFonts w:eastAsiaTheme="minorHAnsi"/>
        </w:rPr>
        <w:t xml:space="preserve"> </w:t>
      </w:r>
      <w:r>
        <w:rPr>
          <w:rFonts w:eastAsiaTheme="minorHAnsi"/>
        </w:rPr>
        <w:t>na základe článku 50</w:t>
      </w:r>
      <w:r w:rsidRPr="00AA7D81">
        <w:rPr>
          <w:rFonts w:eastAsiaTheme="minorHAnsi"/>
        </w:rPr>
        <w:t xml:space="preserve"> (4) nariadenia</w:t>
      </w:r>
      <w:r>
        <w:rPr>
          <w:rFonts w:eastAsiaTheme="minorHAnsi"/>
        </w:rPr>
        <w:t xml:space="preserve"> </w:t>
      </w:r>
      <w:r w:rsidRPr="00AA7D81">
        <w:rPr>
          <w:rFonts w:eastAsiaTheme="minorHAnsi"/>
        </w:rPr>
        <w:t>EP a Rady (EÚ) č. 1303/2013</w:t>
      </w:r>
      <w:bookmarkEnd w:id="39"/>
      <w:bookmarkEnd w:id="40"/>
    </w:p>
    <w:p w:rsidR="00CB1B4E" w:rsidRDefault="00CB1B4E" w:rsidP="00087513">
      <w:pPr>
        <w:rPr>
          <w:rFonts w:eastAsiaTheme="minorHAnsi"/>
        </w:rPr>
      </w:pPr>
    </w:p>
    <w:p w:rsidR="00633E29" w:rsidRDefault="00633E29" w:rsidP="00633E29">
      <w:pPr>
        <w:jc w:val="both"/>
      </w:pPr>
      <w:r>
        <w:t>V rámci plnenia  všeobecnej ex ante kondicionality č. 7 „Štatistické systémy a ukazovatele výsledkov“ boli zadefinované nasledovné kritériá plnenia:</w:t>
      </w:r>
    </w:p>
    <w:p w:rsidR="00633E29" w:rsidRDefault="00633E29" w:rsidP="00633E29">
      <w:pPr>
        <w:jc w:val="both"/>
      </w:pPr>
    </w:p>
    <w:p w:rsidR="00633E29" w:rsidRDefault="00633E29" w:rsidP="00633E29">
      <w:pPr>
        <w:pStyle w:val="Odsekzoznamu"/>
        <w:numPr>
          <w:ilvl w:val="0"/>
          <w:numId w:val="23"/>
        </w:numPr>
        <w:jc w:val="both"/>
      </w:pPr>
      <w:r>
        <w:t>Zavedené sú opatrenia na zabezpečenie včasného zhromaždenia a konsolidácie štatistických údajov s týmito prvkami:</w:t>
      </w:r>
    </w:p>
    <w:p w:rsidR="00633E29" w:rsidRDefault="00633E29" w:rsidP="00633E29">
      <w:pPr>
        <w:pStyle w:val="Odsekzoznamu"/>
        <w:numPr>
          <w:ilvl w:val="0"/>
          <w:numId w:val="11"/>
        </w:numPr>
        <w:ind w:left="1134"/>
        <w:jc w:val="both"/>
      </w:pPr>
      <w:r>
        <w:t>identifikácia zdrojov a mechanizmov na zaručenie validácie štatistických údajov;</w:t>
      </w:r>
    </w:p>
    <w:p w:rsidR="00633E29" w:rsidRDefault="00633E29" w:rsidP="00633E29">
      <w:pPr>
        <w:pStyle w:val="Odsekzoznamu"/>
        <w:numPr>
          <w:ilvl w:val="0"/>
          <w:numId w:val="11"/>
        </w:numPr>
        <w:ind w:left="1134"/>
        <w:jc w:val="both"/>
      </w:pPr>
      <w:r>
        <w:t>opatrenia na uverejnenie konsolidovaných údajov a ich sprístupnenie verejnosti;</w:t>
      </w:r>
    </w:p>
    <w:p w:rsidR="00633E29" w:rsidRDefault="00633E29" w:rsidP="00633E29">
      <w:pPr>
        <w:pStyle w:val="Odsekzoznamu"/>
        <w:jc w:val="both"/>
      </w:pPr>
    </w:p>
    <w:p w:rsidR="00633E29" w:rsidRDefault="00633E29" w:rsidP="00633E29">
      <w:pPr>
        <w:pStyle w:val="Odsekzoznamu"/>
        <w:numPr>
          <w:ilvl w:val="0"/>
          <w:numId w:val="23"/>
        </w:numPr>
        <w:jc w:val="both"/>
      </w:pPr>
      <w:r>
        <w:t>Účinný systém ukazovateľov výsledkov vrátane:</w:t>
      </w:r>
    </w:p>
    <w:p w:rsidR="00633E29" w:rsidRDefault="00633E29" w:rsidP="00633E29">
      <w:pPr>
        <w:pStyle w:val="Odsekzoznamu"/>
        <w:numPr>
          <w:ilvl w:val="0"/>
          <w:numId w:val="11"/>
        </w:numPr>
        <w:ind w:left="1134"/>
        <w:jc w:val="both"/>
      </w:pPr>
      <w:r>
        <w:t>výberu ukazovateľov výsledkov pre každý program poskytujúcich informácie o tom, čo motivuje výber politických opatrení financovaných programom;</w:t>
      </w:r>
    </w:p>
    <w:p w:rsidR="00633E29" w:rsidRDefault="00633E29" w:rsidP="00633E29">
      <w:pPr>
        <w:pStyle w:val="Odsekzoznamu"/>
        <w:numPr>
          <w:ilvl w:val="0"/>
          <w:numId w:val="11"/>
        </w:numPr>
        <w:ind w:left="1134"/>
        <w:jc w:val="both"/>
      </w:pPr>
      <w:r>
        <w:t>stanovenie cieľov týchto ukazovateľov;</w:t>
      </w:r>
    </w:p>
    <w:p w:rsidR="00633E29" w:rsidRDefault="00633E29" w:rsidP="00633E29">
      <w:pPr>
        <w:pStyle w:val="Odsekzoznamu"/>
        <w:numPr>
          <w:ilvl w:val="0"/>
          <w:numId w:val="11"/>
        </w:numPr>
        <w:ind w:left="1134"/>
        <w:jc w:val="both"/>
      </w:pPr>
      <w:r>
        <w:t>súladu každého ukazovateľa s týmito náležitosťami: odolnosť a štatistická validácia, jasný normatívny výklad, citlivosť voči politike a včasné zhromažďovanie údajov;</w:t>
      </w:r>
    </w:p>
    <w:p w:rsidR="00633E29" w:rsidRDefault="00633E29" w:rsidP="00633E29">
      <w:pPr>
        <w:pStyle w:val="Odsekzoznamu"/>
        <w:jc w:val="both"/>
      </w:pPr>
    </w:p>
    <w:p w:rsidR="00633E29" w:rsidRDefault="00633E29" w:rsidP="00633E29">
      <w:pPr>
        <w:pStyle w:val="Odsekzoznamu"/>
        <w:numPr>
          <w:ilvl w:val="0"/>
          <w:numId w:val="23"/>
        </w:numPr>
        <w:jc w:val="both"/>
      </w:pPr>
      <w:r>
        <w:t>Postupy zavedené na zaručenie toho, aby všetky operácie financované z programu prijali účinný systém ukazovateľov.</w:t>
      </w:r>
    </w:p>
    <w:p w:rsidR="00633E29" w:rsidRDefault="00633E29" w:rsidP="00633E29">
      <w:pPr>
        <w:jc w:val="both"/>
      </w:pPr>
    </w:p>
    <w:p w:rsidR="00633E29" w:rsidRDefault="00633E29" w:rsidP="00633E29">
      <w:pPr>
        <w:jc w:val="both"/>
      </w:pPr>
      <w:r>
        <w:t xml:space="preserve">RO OP TP vyhodnotil všetky uvedené kritériá ako splnené. Splnenie kritérií bolo deklarované aj na základe splnenia akčného plánu RO OP TP na identifikáciu východiskovej a cieľovej hodnoty výsledkového ukazovateľa „Miera informovanosti o možnostiach podpory z EŠIF“. Akčný plán bolo potrebné zo strany RO OP TP vypracovať z dôvodu, </w:t>
      </w:r>
      <w:r w:rsidRPr="00317458">
        <w:t xml:space="preserve">že východisková </w:t>
      </w:r>
      <w:r w:rsidR="00150E32">
        <w:br/>
      </w:r>
      <w:r w:rsidRPr="00317458">
        <w:lastRenderedPageBreak/>
        <w:t xml:space="preserve">a cieľová hodnota ukazovateľov bola v rámci OP TP stanovená pre všetky merateľné ukazovatele výsledku okrem jedného ukazovateľa použitého v rámci 1. PO OP TP s názvom „Miera informovanosti o možnostiach podpory z EŠIF“, a to z dôvodu, že v čase prípravy OP TP neboli k dispozícii údaje potrebné pre identifikáciu východiskovej hodnoty a stanovenie cieľovej hodnoty tohto merateľného ukazovateľa výsledku. </w:t>
      </w:r>
      <w:r>
        <w:t xml:space="preserve">   </w:t>
      </w:r>
    </w:p>
    <w:p w:rsidR="00633E29" w:rsidRDefault="00633E29" w:rsidP="00633E29">
      <w:pPr>
        <w:jc w:val="both"/>
      </w:pPr>
      <w:r>
        <w:t xml:space="preserve">Akčný plán bol napĺňaný nasledovnými aktivitami: </w:t>
      </w:r>
      <w:r w:rsidRPr="00893705">
        <w:t>Tvorba metodiky na výber vzorky, zber, spracovanie a vyhodnotenie údajov za rok 2014 alebo 2015</w:t>
      </w:r>
      <w:r>
        <w:t xml:space="preserve">, </w:t>
      </w:r>
      <w:r w:rsidRPr="00C72AEB">
        <w:t>Realizácia prieskumu verejnej mienky za rok 2014 alebo 2015</w:t>
      </w:r>
      <w:r>
        <w:t>,</w:t>
      </w:r>
      <w:r w:rsidRPr="00C72AEB">
        <w:t xml:space="preserve"> Syntéza zozbieraných dát získaných prostredníctvom realizovaného prieskumu verejnej mienky s identifikáciou východiskovej hodnoty ukazovateľa a stanovenie cieľovej hodnoty ukazovateľa</w:t>
      </w:r>
      <w:r>
        <w:t xml:space="preserve"> a  </w:t>
      </w:r>
      <w:r w:rsidRPr="00C72AEB">
        <w:t>Informovanie EK prostredníctvom výročnej správy o vykonávaní OP TP za rok 2015 v súlade s článkom 50 Všeobecného nariadenia</w:t>
      </w:r>
      <w:r>
        <w:t xml:space="preserve">. </w:t>
      </w:r>
    </w:p>
    <w:p w:rsidR="00633E29" w:rsidRDefault="00633E29" w:rsidP="00633E29">
      <w:pPr>
        <w:jc w:val="both"/>
      </w:pPr>
      <w:r>
        <w:t>RO OP TP zaslal dňa 22.</w:t>
      </w:r>
      <w:r w:rsidR="00DE567C">
        <w:t xml:space="preserve"> </w:t>
      </w:r>
      <w:r>
        <w:t>04.</w:t>
      </w:r>
      <w:r w:rsidR="00DE567C">
        <w:t xml:space="preserve"> </w:t>
      </w:r>
      <w:r>
        <w:t xml:space="preserve">2016 vyhlásenie o splnení  všeobecnej ex ante kondicionality </w:t>
      </w:r>
      <w:r w:rsidR="003C7716">
        <w:br/>
      </w:r>
      <w:r>
        <w:t>č. 7, listom na EK. Súhlasné stanovisko o  splnení uvedenej ex ante kondicionality bolo zo strany EK doručené na RO OP TP dňa 19.</w:t>
      </w:r>
      <w:r w:rsidR="00DE567C">
        <w:t xml:space="preserve"> </w:t>
      </w:r>
      <w:r>
        <w:t>07.</w:t>
      </w:r>
      <w:r w:rsidR="00DE567C">
        <w:t xml:space="preserve"> </w:t>
      </w:r>
      <w:r>
        <w:t xml:space="preserve">2016. </w:t>
      </w:r>
    </w:p>
    <w:p w:rsidR="00633E29" w:rsidRPr="00087513" w:rsidRDefault="00633E29" w:rsidP="00087513">
      <w:pPr>
        <w:rPr>
          <w:rFonts w:eastAsiaTheme="minorHAnsi"/>
        </w:rPr>
      </w:pPr>
    </w:p>
    <w:p w:rsidR="009C2911" w:rsidRDefault="009C2911" w:rsidP="00542440">
      <w:pPr>
        <w:spacing w:after="120"/>
        <w:rPr>
          <w:rFonts w:eastAsiaTheme="minorHAnsi"/>
          <w:b/>
          <w:lang w:eastAsia="en-US"/>
        </w:rPr>
      </w:pPr>
    </w:p>
    <w:p w:rsidR="009C2911" w:rsidRDefault="009C2911" w:rsidP="00542440">
      <w:pPr>
        <w:spacing w:after="120"/>
        <w:rPr>
          <w:rFonts w:eastAsiaTheme="minorHAnsi"/>
          <w:b/>
          <w:lang w:eastAsia="en-US"/>
        </w:rPr>
      </w:pPr>
    </w:p>
    <w:p w:rsidR="009C2911" w:rsidRDefault="009C2911" w:rsidP="00542440">
      <w:pPr>
        <w:spacing w:after="120"/>
        <w:rPr>
          <w:rFonts w:eastAsiaTheme="minorHAnsi"/>
          <w:b/>
          <w:lang w:eastAsia="en-US"/>
        </w:rPr>
      </w:pPr>
    </w:p>
    <w:p w:rsidR="009C2911" w:rsidRDefault="009C2911" w:rsidP="00542440">
      <w:pPr>
        <w:spacing w:after="120"/>
        <w:rPr>
          <w:rFonts w:eastAsiaTheme="minorHAnsi"/>
          <w:b/>
          <w:lang w:eastAsia="en-US"/>
        </w:rPr>
      </w:pPr>
    </w:p>
    <w:p w:rsidR="009C2911" w:rsidRDefault="009C2911" w:rsidP="00542440">
      <w:pPr>
        <w:spacing w:after="120"/>
        <w:rPr>
          <w:rFonts w:eastAsiaTheme="minorHAnsi"/>
          <w:b/>
          <w:lang w:eastAsia="en-US"/>
        </w:rPr>
      </w:pPr>
    </w:p>
    <w:p w:rsidR="009C2911" w:rsidRDefault="009C2911" w:rsidP="00542440">
      <w:pPr>
        <w:spacing w:after="120"/>
        <w:rPr>
          <w:rFonts w:eastAsiaTheme="minorHAnsi"/>
          <w:b/>
          <w:lang w:eastAsia="en-US"/>
        </w:rPr>
        <w:sectPr w:rsidR="009C2911" w:rsidSect="00377373">
          <w:headerReference w:type="default" r:id="rId18"/>
          <w:footerReference w:type="default" r:id="rId19"/>
          <w:footerReference w:type="firs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42440" w:rsidRPr="00B222A9" w:rsidRDefault="00542440" w:rsidP="00542440">
      <w:pPr>
        <w:spacing w:after="12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Tabuľka 14</w:t>
      </w:r>
      <w:r w:rsidRPr="00B222A9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>Opatrenia prijaté</w:t>
      </w:r>
      <w:r w:rsidRPr="00B222A9">
        <w:rPr>
          <w:rFonts w:eastAsiaTheme="minorHAnsi"/>
          <w:b/>
          <w:lang w:eastAsia="en-US"/>
        </w:rPr>
        <w:t xml:space="preserve"> s cieľom splniť uplatniteľné všeobecné </w:t>
      </w:r>
      <w:r>
        <w:rPr>
          <w:rFonts w:eastAsiaTheme="minorHAnsi"/>
          <w:b/>
          <w:lang w:eastAsia="en-US"/>
        </w:rPr>
        <w:t>EAK</w:t>
      </w:r>
    </w:p>
    <w:tbl>
      <w:tblPr>
        <w:tblW w:w="56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2054"/>
        <w:gridCol w:w="2626"/>
        <w:gridCol w:w="22"/>
        <w:gridCol w:w="1118"/>
        <w:gridCol w:w="1118"/>
        <w:gridCol w:w="839"/>
        <w:gridCol w:w="697"/>
        <w:gridCol w:w="905"/>
        <w:gridCol w:w="4530"/>
        <w:gridCol w:w="82"/>
      </w:tblGrid>
      <w:tr w:rsidR="00DF423F" w:rsidRPr="008B6AC7" w:rsidTr="008B6AC7">
        <w:trPr>
          <w:trHeight w:val="345"/>
          <w:jc w:val="center"/>
        </w:trPr>
        <w:tc>
          <w:tcPr>
            <w:tcW w:w="546" w:type="pct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pacing w:before="60" w:after="6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654" w:type="pct"/>
            <w:shd w:val="clear" w:color="auto" w:fill="B8CCE4" w:themeFill="accent1" w:themeFillTint="66"/>
            <w:vAlign w:val="center"/>
          </w:tcPr>
          <w:p w:rsidR="00DF423F" w:rsidRPr="00C55C4C" w:rsidRDefault="00DF423F" w:rsidP="00DF423F">
            <w:pPr>
              <w:spacing w:before="60" w:after="6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C55C4C">
              <w:rPr>
                <w:rFonts w:eastAsiaTheme="minorHAnsi"/>
                <w:b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843" w:type="pct"/>
            <w:gridSpan w:val="2"/>
            <w:shd w:val="clear" w:color="auto" w:fill="B8CCE4" w:themeFill="accent1" w:themeFillTint="66"/>
            <w:vAlign w:val="center"/>
          </w:tcPr>
          <w:p w:rsidR="00DF423F" w:rsidRPr="008B6AC7" w:rsidDel="00E86675" w:rsidRDefault="00DF423F" w:rsidP="00DF423F">
            <w:pPr>
              <w:spacing w:before="60" w:after="6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56" w:type="pct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pacing w:before="60" w:after="6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56" w:type="pct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pacing w:before="60" w:after="6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67" w:type="pct"/>
            <w:shd w:val="clear" w:color="auto" w:fill="B8CCE4" w:themeFill="accent1" w:themeFillTint="66"/>
            <w:vAlign w:val="center"/>
          </w:tcPr>
          <w:p w:rsidR="00DF423F" w:rsidRPr="008B6AC7" w:rsidDel="00E86675" w:rsidRDefault="00DF423F" w:rsidP="00DF423F">
            <w:pPr>
              <w:spacing w:before="60" w:after="6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22" w:type="pct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pacing w:before="60" w:after="6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88" w:type="pct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pacing w:before="60" w:after="6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1468" w:type="pct"/>
            <w:gridSpan w:val="2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pacing w:before="60" w:after="6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9.</w:t>
            </w:r>
          </w:p>
        </w:tc>
      </w:tr>
      <w:tr w:rsidR="00DF423F" w:rsidRPr="008B6AC7" w:rsidTr="008B6AC7">
        <w:trPr>
          <w:trHeight w:val="1933"/>
          <w:jc w:val="center"/>
        </w:trPr>
        <w:tc>
          <w:tcPr>
            <w:tcW w:w="546" w:type="pct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Všeobecná</w:t>
            </w:r>
          </w:p>
          <w:p w:rsidR="00DF423F" w:rsidRPr="008B6AC7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EAK</w:t>
            </w:r>
          </w:p>
        </w:tc>
        <w:tc>
          <w:tcPr>
            <w:tcW w:w="654" w:type="pct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Nesplnené kritériá</w:t>
            </w:r>
          </w:p>
        </w:tc>
        <w:tc>
          <w:tcPr>
            <w:tcW w:w="843" w:type="pct"/>
            <w:gridSpan w:val="2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Prijaté opatrenie</w:t>
            </w:r>
          </w:p>
        </w:tc>
        <w:tc>
          <w:tcPr>
            <w:tcW w:w="356" w:type="pct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Konečný termín (dátum)</w:t>
            </w:r>
          </w:p>
        </w:tc>
        <w:tc>
          <w:tcPr>
            <w:tcW w:w="356" w:type="pct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napToGrid w:val="0"/>
              <w:spacing w:after="200"/>
              <w:ind w:right="-178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Zodpovedné subjekty</w:t>
            </w:r>
          </w:p>
        </w:tc>
        <w:tc>
          <w:tcPr>
            <w:tcW w:w="267" w:type="pct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Opatrenie uskutočnené v termíne (áno/nie)</w:t>
            </w:r>
          </w:p>
        </w:tc>
        <w:tc>
          <w:tcPr>
            <w:tcW w:w="222" w:type="pct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Kritéria splnené</w:t>
            </w: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br/>
              <w:t>(áno/nie)</w:t>
            </w:r>
          </w:p>
        </w:tc>
        <w:tc>
          <w:tcPr>
            <w:tcW w:w="288" w:type="pct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>Očakávaný termín uskutočnenia ostávajúcich opatrení</w:t>
            </w: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br/>
            </w:r>
            <w:r w:rsidRPr="008B6AC7">
              <w:rPr>
                <w:rFonts w:eastAsiaTheme="minorHAnsi"/>
                <w:i/>
                <w:sz w:val="18"/>
                <w:szCs w:val="18"/>
                <w:lang w:eastAsia="en-US"/>
              </w:rPr>
              <w:t>ak je relevantné</w:t>
            </w:r>
          </w:p>
        </w:tc>
        <w:tc>
          <w:tcPr>
            <w:tcW w:w="1468" w:type="pct"/>
            <w:gridSpan w:val="2"/>
            <w:shd w:val="clear" w:color="auto" w:fill="B8CCE4" w:themeFill="accent1" w:themeFillTint="66"/>
            <w:vAlign w:val="center"/>
          </w:tcPr>
          <w:p w:rsidR="00DF423F" w:rsidRPr="008B6AC7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8B6AC7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Komentár </w:t>
            </w:r>
            <w:r w:rsidRPr="008B6AC7">
              <w:rPr>
                <w:rFonts w:eastAsiaTheme="minorHAnsi"/>
                <w:i/>
                <w:sz w:val="18"/>
                <w:szCs w:val="18"/>
                <w:lang w:eastAsia="en-US"/>
              </w:rPr>
              <w:t>pre každé opatrenie zvlášť</w:t>
            </w:r>
          </w:p>
        </w:tc>
      </w:tr>
      <w:tr w:rsidR="00DF423F" w:rsidRPr="008B6AC7" w:rsidTr="008B6AC7">
        <w:trPr>
          <w:trHeight w:val="3548"/>
          <w:jc w:val="center"/>
        </w:trPr>
        <w:tc>
          <w:tcPr>
            <w:tcW w:w="546" w:type="pct"/>
            <w:shd w:val="clear" w:color="auto" w:fill="FFFFFF" w:themeFill="background1"/>
          </w:tcPr>
          <w:p w:rsidR="00DF423F" w:rsidRPr="004A0ED8" w:rsidRDefault="00DF423F" w:rsidP="00DF4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4A0ED8">
              <w:rPr>
                <w:rFonts w:eastAsia="Calibri"/>
                <w:b/>
                <w:sz w:val="18"/>
                <w:szCs w:val="18"/>
              </w:rPr>
              <w:t>1. Nediskriminácia</w:t>
            </w:r>
          </w:p>
          <w:p w:rsidR="00DF423F" w:rsidRPr="004A0ED8" w:rsidRDefault="00DF423F" w:rsidP="00DF4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</w:p>
          <w:p w:rsidR="00DF423F" w:rsidRPr="004A0ED8" w:rsidRDefault="00DF423F" w:rsidP="00DF4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Existencia administratívnej kapacity na vykonávanie a uplatňovanie práva Únie v oblasti nediskriminácie a politiky v oblasti EŠIF.</w:t>
            </w:r>
          </w:p>
          <w:p w:rsidR="00DF423F" w:rsidRPr="008B6AC7" w:rsidRDefault="00DF423F" w:rsidP="00DF423F">
            <w:pPr>
              <w:snapToGrid w:val="0"/>
              <w:spacing w:after="20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54" w:type="pct"/>
            <w:shd w:val="clear" w:color="auto" w:fill="FFFFFF" w:themeFill="background1"/>
          </w:tcPr>
          <w:p w:rsidR="00DF423F" w:rsidRPr="008B6AC7" w:rsidRDefault="00DF423F" w:rsidP="00DF423F">
            <w:pPr>
              <w:snapToGrid w:val="0"/>
              <w:spacing w:after="20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t>Opatrenia v súlade s inštitucionálnym a právnym rámcom členských štátov na zapojenie orgánov zodpovedných za podporu rovnakého zaobchádzania so všetkými osobami počas prípravy a vykonávania programov, a to vrátane poskytovania poradenstva o rovnosti v rámci činností spojených s EŠIF.</w:t>
            </w:r>
          </w:p>
        </w:tc>
        <w:tc>
          <w:tcPr>
            <w:tcW w:w="843" w:type="pct"/>
            <w:gridSpan w:val="2"/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 xml:space="preserve">Navýšenie administratívnych kapacít odboru rodovej rovnosti a rovnosti príležitostí MPSVR  SR. </w:t>
            </w:r>
          </w:p>
          <w:p w:rsidR="00DF423F" w:rsidRPr="004A0ED8" w:rsidRDefault="00DF423F" w:rsidP="00DF423F">
            <w:pPr>
              <w:snapToGrid w:val="0"/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 xml:space="preserve">Zapojenie Slovenského národného strediska pre ľudské práva ako „equality body“. </w:t>
            </w:r>
          </w:p>
          <w:p w:rsidR="00DF423F" w:rsidRPr="004A0ED8" w:rsidRDefault="00DF423F" w:rsidP="00DF423F">
            <w:pPr>
              <w:snapToGrid w:val="0"/>
              <w:spacing w:after="20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 xml:space="preserve">  Prijatie národného akčného  plánu pre prevenciu a elimináciu diskriminácie.</w:t>
            </w: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30.09.2014 následne termín posunutý do 13.01.2016</w:t>
            </w:r>
          </w:p>
        </w:tc>
        <w:tc>
          <w:tcPr>
            <w:tcW w:w="356" w:type="pct"/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MPSVR SR</w:t>
            </w:r>
          </w:p>
        </w:tc>
        <w:tc>
          <w:tcPr>
            <w:tcW w:w="267" w:type="pct"/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2" w:type="pct"/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  </w:t>
            </w:r>
          </w:p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8" w:type="pct"/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68" w:type="pct"/>
            <w:gridSpan w:val="2"/>
            <w:shd w:val="clear" w:color="auto" w:fill="FFFFFF" w:themeFill="background1"/>
          </w:tcPr>
          <w:p w:rsidR="00DF423F" w:rsidRPr="004A0ED8" w:rsidRDefault="00DF423F" w:rsidP="00DF423F">
            <w:pPr>
              <w:spacing w:after="120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Vychádzajúc z Uznesenia vlády SR č. 519 z  15. októbra 2014 k Štruktúre subjektov implementácie EŠIF na programové obdobie 2014 – 2020 a zabezpečenie administratívnych kapacít do roku 2016, B 5.</w:t>
            </w:r>
          </w:p>
          <w:p w:rsidR="00DF423F" w:rsidRPr="004A0ED8" w:rsidRDefault="00DF423F" w:rsidP="00DF423F">
            <w:pPr>
              <w:spacing w:after="120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Rozhodnutím ministra práce, sociálnych veci a rodiny SR bol za sledované obdobie navýšený stav administratívnych kapacít pre Odbor rodovej rovnosti a rovnosti príležitostí ako výkonný odbor gestorstva HP RMŽ a ND a to v nadväznosti na Opatrenia na zabezpečenie odbornej prípravy pre zamestnancov orgánov zapojených do riadenia a kontroly EŠIF v oblasti práva a politiky Únie v oblasti nediskriminácie. Uznesenie vlády SR č. 519/2014, bod B5, kde novovytvorené pracovné pozície nemajú mať dopad na štátny rozpočet.</w:t>
            </w:r>
          </w:p>
          <w:p w:rsidR="00DF423F" w:rsidRPr="004A0ED8" w:rsidRDefault="00DF423F" w:rsidP="00DF423F">
            <w:pPr>
              <w:spacing w:after="120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K 31.8.2016 je obsadených plný počet plánovaných miest – 14, z toho 11 na ORRRP a 3 miesta na odbore pre integráciu ľudí so ZP. </w:t>
            </w:r>
          </w:p>
          <w:p w:rsidR="00D24EB2" w:rsidRPr="004A0ED8" w:rsidRDefault="00D24EB2" w:rsidP="00D24EB2">
            <w:pPr>
              <w:spacing w:after="120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>Splnenie EAK 1 bolo potvrdené zo strany EK dňa 6.3.2017</w:t>
            </w:r>
          </w:p>
        </w:tc>
      </w:tr>
      <w:tr w:rsidR="00DF423F" w:rsidRPr="008B6AC7" w:rsidTr="008B6AC7">
        <w:trPr>
          <w:jc w:val="center"/>
        </w:trPr>
        <w:tc>
          <w:tcPr>
            <w:tcW w:w="546" w:type="pct"/>
            <w:shd w:val="clear" w:color="auto" w:fill="auto"/>
          </w:tcPr>
          <w:p w:rsidR="00DF423F" w:rsidRPr="008B6AC7" w:rsidRDefault="00DF423F" w:rsidP="00DF423F">
            <w:p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654" w:type="pct"/>
            <w:shd w:val="clear" w:color="auto" w:fill="auto"/>
          </w:tcPr>
          <w:p w:rsidR="00DF423F" w:rsidRPr="004A0ED8" w:rsidRDefault="00DF423F" w:rsidP="00DF423F">
            <w:p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t xml:space="preserve">Opatrenia na zabezpečenie odbornej prípravy pre zamestnancov orgánov </w:t>
            </w:r>
            <w:r w:rsidRPr="004A0ED8">
              <w:rPr>
                <w:sz w:val="18"/>
                <w:szCs w:val="18"/>
              </w:rPr>
              <w:lastRenderedPageBreak/>
              <w:t>zapojených do riadenia a kontroly EŠIF v oblasti práva a politiky Únie v oblasti nediskriminácie.</w:t>
            </w:r>
          </w:p>
        </w:tc>
        <w:tc>
          <w:tcPr>
            <w:tcW w:w="843" w:type="pct"/>
            <w:gridSpan w:val="2"/>
            <w:shd w:val="clear" w:color="auto" w:fill="auto"/>
          </w:tcPr>
          <w:p w:rsidR="00DF423F" w:rsidRPr="004A0ED8" w:rsidRDefault="00DF423F" w:rsidP="00DF423F">
            <w:p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lastRenderedPageBreak/>
              <w:t xml:space="preserve">Vypracovanie stratégie vzdelávania a uskutočnenie vzdelávacích aktivít.  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 xml:space="preserve">30.06.2015 následne termín </w:t>
            </w:r>
            <w:r w:rsidRPr="004A0ED8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posunutý do  20.12.2016</w:t>
            </w: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MPSVR SR</w:t>
            </w:r>
          </w:p>
        </w:tc>
        <w:tc>
          <w:tcPr>
            <w:tcW w:w="267" w:type="pct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2" w:type="pct"/>
            <w:shd w:val="clear" w:color="auto" w:fill="auto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8" w:type="pct"/>
            <w:shd w:val="clear" w:color="auto" w:fill="auto"/>
          </w:tcPr>
          <w:p w:rsidR="00DF423F" w:rsidRPr="008B6AC7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DF423F" w:rsidRPr="004A0ED8" w:rsidRDefault="00DF423F" w:rsidP="00DF423F">
            <w:pPr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sz w:val="18"/>
                <w:szCs w:val="18"/>
                <w:lang w:eastAsia="cs-CZ"/>
              </w:rPr>
              <w:t>Stratégia školenia AK vychádza z </w:t>
            </w:r>
            <w:r w:rsidRPr="004A0ED8">
              <w:rPr>
                <w:b/>
                <w:sz w:val="18"/>
                <w:szCs w:val="18"/>
                <w:lang w:eastAsia="cs-CZ"/>
              </w:rPr>
              <w:t>trojstupňového systému vzdelávania AK</w:t>
            </w:r>
            <w:r w:rsidRPr="004A0ED8">
              <w:rPr>
                <w:sz w:val="18"/>
                <w:szCs w:val="18"/>
                <w:lang w:eastAsia="cs-CZ"/>
              </w:rPr>
              <w:t xml:space="preserve">.  </w:t>
            </w:r>
            <w:r w:rsidRPr="004A0ED8">
              <w:rPr>
                <w:rFonts w:eastAsia="Arial Unicode MS"/>
                <w:sz w:val="18"/>
                <w:szCs w:val="18"/>
              </w:rPr>
              <w:t xml:space="preserve">Témy vzdelávania v oblasti nediskriminácie v rámci odbornej prípravy RO a subjektov, zapojených do implementácie EIŠF, budú vychádzať </w:t>
            </w:r>
            <w:r w:rsidRPr="004A0ED8">
              <w:rPr>
                <w:rFonts w:eastAsia="Arial Unicode MS"/>
                <w:sz w:val="18"/>
                <w:szCs w:val="18"/>
              </w:rPr>
              <w:lastRenderedPageBreak/>
              <w:t>z požiadaviek definovaných v EAK  realizované v rámci trojstupňového vzdelávania:</w:t>
            </w:r>
          </w:p>
          <w:p w:rsidR="00DF423F" w:rsidRPr="004A0ED8" w:rsidRDefault="00DF423F" w:rsidP="00DF423F">
            <w:pPr>
              <w:numPr>
                <w:ilvl w:val="0"/>
                <w:numId w:val="28"/>
              </w:numPr>
              <w:spacing w:after="120"/>
              <w:jc w:val="both"/>
              <w:rPr>
                <w:rFonts w:eastAsia="Arial Unicode MS"/>
                <w:b/>
                <w:sz w:val="18"/>
                <w:szCs w:val="18"/>
              </w:rPr>
            </w:pPr>
            <w:r w:rsidRPr="004A0ED8">
              <w:rPr>
                <w:rFonts w:eastAsia="Arial Unicode MS"/>
                <w:b/>
                <w:sz w:val="18"/>
                <w:szCs w:val="18"/>
              </w:rPr>
              <w:t>Základné vzdelávanie</w:t>
            </w:r>
          </w:p>
          <w:p w:rsidR="00DF423F" w:rsidRPr="004A0ED8" w:rsidRDefault="00DF423F" w:rsidP="00DF423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rFonts w:eastAsia="Arial Unicode MS"/>
                <w:sz w:val="18"/>
                <w:szCs w:val="18"/>
              </w:rPr>
              <w:t xml:space="preserve">Vzdelávanie o základných princípoch a pojmov v rámci </w:t>
            </w:r>
            <w:r w:rsidRPr="004A0ED8">
              <w:rPr>
                <w:rFonts w:eastAsia="Arial Unicode MS"/>
                <w:b/>
                <w:sz w:val="18"/>
                <w:szCs w:val="18"/>
              </w:rPr>
              <w:t>centrálneho vzdelávania</w:t>
            </w:r>
            <w:r w:rsidRPr="004A0ED8">
              <w:rPr>
                <w:rFonts w:eastAsia="Arial Unicode MS"/>
                <w:sz w:val="18"/>
                <w:szCs w:val="18"/>
              </w:rPr>
              <w:t xml:space="preserve"> AK k Systému riadeniu EŠIF, ktoré je zabezpečovaná centrálne CKO. Základný modul v trvaní 1,5 hod obsahuje základné informácie </w:t>
            </w:r>
            <w:r w:rsidRPr="004A0ED8">
              <w:rPr>
                <w:rFonts w:eastAsia="Arial Unicode MS"/>
                <w:bCs/>
                <w:sz w:val="18"/>
                <w:szCs w:val="18"/>
              </w:rPr>
              <w:t>pri uplatňovaní HP v rámci EŠIF.</w:t>
            </w:r>
          </w:p>
          <w:p w:rsidR="00DF423F" w:rsidRPr="004A0ED8" w:rsidRDefault="00DF423F" w:rsidP="00DF423F">
            <w:pPr>
              <w:numPr>
                <w:ilvl w:val="0"/>
                <w:numId w:val="28"/>
              </w:numPr>
              <w:spacing w:after="120"/>
              <w:jc w:val="both"/>
              <w:rPr>
                <w:rFonts w:eastAsia="Arial Unicode MS"/>
                <w:b/>
                <w:sz w:val="18"/>
                <w:szCs w:val="18"/>
              </w:rPr>
            </w:pPr>
            <w:r w:rsidRPr="004A0ED8">
              <w:rPr>
                <w:rFonts w:eastAsia="Arial Unicode MS"/>
                <w:b/>
                <w:sz w:val="18"/>
                <w:szCs w:val="18"/>
              </w:rPr>
              <w:t xml:space="preserve">Dištančné všeobecné vzdelávanie </w:t>
            </w:r>
          </w:p>
          <w:p w:rsidR="00DF423F" w:rsidRPr="004A0ED8" w:rsidRDefault="00DF423F" w:rsidP="00DF423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Arial Unicode MS"/>
                <w:bCs/>
                <w:sz w:val="18"/>
                <w:szCs w:val="18"/>
              </w:rPr>
            </w:pPr>
            <w:r w:rsidRPr="004A0ED8">
              <w:rPr>
                <w:rFonts w:eastAsia="Arial Unicode MS"/>
                <w:sz w:val="18"/>
                <w:szCs w:val="18"/>
              </w:rPr>
              <w:t>Na absolvovanie základného vzdelávania bude nadväzovať všeobecné vzdelávanie dištančnou formou e-learningu, ktorý je pripravovaný CKO pre všetky oblasti Systému riadenia EŠIF. Obsah e-learningového kurzu bude vypracovaný ORRRP v spolupráci so SNSĽP  a externými odborníkmi a odborníčkami z MVO.</w:t>
            </w:r>
          </w:p>
          <w:p w:rsidR="00DF423F" w:rsidRPr="004A0ED8" w:rsidRDefault="00DF423F" w:rsidP="00DF423F">
            <w:pPr>
              <w:numPr>
                <w:ilvl w:val="0"/>
                <w:numId w:val="28"/>
              </w:numPr>
              <w:spacing w:after="120"/>
              <w:jc w:val="both"/>
              <w:rPr>
                <w:rFonts w:eastAsia="Arial Unicode MS"/>
                <w:b/>
                <w:sz w:val="18"/>
                <w:szCs w:val="18"/>
              </w:rPr>
            </w:pPr>
            <w:r w:rsidRPr="004A0ED8">
              <w:rPr>
                <w:rFonts w:eastAsia="Arial Unicode MS"/>
                <w:b/>
                <w:sz w:val="18"/>
                <w:szCs w:val="18"/>
              </w:rPr>
              <w:t>Špecifické prezenčné vzdelávanie</w:t>
            </w:r>
          </w:p>
          <w:p w:rsidR="00DF423F" w:rsidRPr="004A0ED8" w:rsidRDefault="00DF423F" w:rsidP="00DF423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rFonts w:eastAsia="Arial Unicode MS"/>
                <w:sz w:val="18"/>
                <w:szCs w:val="18"/>
              </w:rPr>
              <w:t>Špecifické vzdelávanie zamerané na konkrétne oblasti uplatňovania HO v rámci jednotlivých OP, vrátane praktických cvičení zameraných podľa zodpovedností prítomných AK. Vzdelávacie kurzy budú zahrnuté do systému vzdelávania jednotlivých RO v rámci ich projektov TA.</w:t>
            </w:r>
          </w:p>
          <w:p w:rsidR="00DF423F" w:rsidRPr="004A0ED8" w:rsidRDefault="00DF423F" w:rsidP="00DF423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rFonts w:eastAsia="Arial Unicode MS"/>
                <w:sz w:val="18"/>
                <w:szCs w:val="18"/>
              </w:rPr>
              <w:t>Dňa 2.12.2016 sa konalo zasadnutie</w:t>
            </w:r>
            <w:r w:rsidRPr="004A0ED8">
              <w:rPr>
                <w:rFonts w:eastAsia="Arial Unicode MS"/>
                <w:b/>
                <w:sz w:val="18"/>
                <w:szCs w:val="18"/>
              </w:rPr>
              <w:t xml:space="preserve"> Koordinačného výboru HP RMŽ a ND, </w:t>
            </w:r>
            <w:r w:rsidRPr="004A0ED8">
              <w:rPr>
                <w:rFonts w:eastAsia="Arial Unicode MS"/>
                <w:sz w:val="18"/>
                <w:szCs w:val="18"/>
              </w:rPr>
              <w:t xml:space="preserve">kde sa členovia a členky výboru uzniesli, že pod Koordinačným výborom HP RMŽ a ND vzniká špeciálna </w:t>
            </w:r>
            <w:r w:rsidRPr="004A0ED8">
              <w:rPr>
                <w:rFonts w:eastAsia="Arial Unicode MS"/>
                <w:b/>
                <w:sz w:val="18"/>
                <w:szCs w:val="18"/>
              </w:rPr>
              <w:t>Pracovná skupina pre vzdelávanie Gestora HP RMŽ a ND</w:t>
            </w:r>
            <w:r w:rsidRPr="004A0ED8">
              <w:rPr>
                <w:rFonts w:eastAsia="Arial Unicode MS"/>
                <w:sz w:val="18"/>
                <w:szCs w:val="18"/>
              </w:rPr>
              <w:t>.</w:t>
            </w:r>
          </w:p>
          <w:p w:rsidR="00DF423F" w:rsidRPr="004A0ED8" w:rsidRDefault="00DF423F" w:rsidP="00DF423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rFonts w:eastAsia="Arial Unicode MS"/>
                <w:sz w:val="18"/>
                <w:szCs w:val="18"/>
              </w:rPr>
              <w:t>RO predložili</w:t>
            </w:r>
            <w:r w:rsidRPr="004A0ED8">
              <w:rPr>
                <w:rFonts w:eastAsia="Arial Unicode MS"/>
                <w:b/>
                <w:sz w:val="18"/>
                <w:szCs w:val="18"/>
              </w:rPr>
              <w:t xml:space="preserve"> plány vzdelávania na rok 2017, </w:t>
            </w:r>
            <w:r w:rsidRPr="004A0ED8">
              <w:rPr>
                <w:rFonts w:eastAsia="Arial Unicode MS"/>
                <w:sz w:val="18"/>
                <w:szCs w:val="18"/>
              </w:rPr>
              <w:t xml:space="preserve">z ktorých vyplýva zaradenie špecifického vzdelávania k nediskriminácii pre stanovené AK v zmysle </w:t>
            </w:r>
            <w:r w:rsidRPr="004A0ED8">
              <w:rPr>
                <w:rFonts w:eastAsia="Arial Unicode MS"/>
                <w:b/>
                <w:sz w:val="18"/>
                <w:szCs w:val="18"/>
              </w:rPr>
              <w:t>Stratégie vzdelávania administratívnych kapacít zapojených do riadenia EŠIF pre horizontálne princípy rovnosť  mužov a žien  a nediskriminácia (PO 2014-2020)</w:t>
            </w:r>
            <w:r w:rsidRPr="004A0ED8">
              <w:rPr>
                <w:rFonts w:eastAsia="Arial Unicode MS"/>
                <w:sz w:val="18"/>
                <w:szCs w:val="18"/>
              </w:rPr>
              <w:t>.</w:t>
            </w:r>
          </w:p>
          <w:p w:rsidR="00D24EB2" w:rsidRPr="004A0ED8" w:rsidRDefault="00D24EB2" w:rsidP="00DF423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>Splnenie EAK 1 bolo potvrdené zo strany EK dňa 6.3.2017</w:t>
            </w:r>
          </w:p>
        </w:tc>
      </w:tr>
      <w:tr w:rsidR="00DF423F" w:rsidRPr="008B6AC7" w:rsidTr="008B6AC7">
        <w:trPr>
          <w:jc w:val="center"/>
        </w:trPr>
        <w:tc>
          <w:tcPr>
            <w:tcW w:w="546" w:type="pct"/>
            <w:shd w:val="clear" w:color="auto" w:fill="FFFFFF" w:themeFill="background1"/>
          </w:tcPr>
          <w:p w:rsidR="00DF423F" w:rsidRPr="004A0ED8" w:rsidRDefault="00DF423F" w:rsidP="00DF423F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4A0ED8">
              <w:rPr>
                <w:rFonts w:eastAsia="Calibri"/>
                <w:b/>
                <w:sz w:val="18"/>
                <w:szCs w:val="18"/>
              </w:rPr>
              <w:lastRenderedPageBreak/>
              <w:t>2. Rodová rovnosť</w:t>
            </w:r>
          </w:p>
          <w:p w:rsidR="00DF423F" w:rsidRPr="008B6AC7" w:rsidRDefault="00DF423F" w:rsidP="00DF423F">
            <w:pPr>
              <w:jc w:val="both"/>
              <w:rPr>
                <w:sz w:val="16"/>
                <w:szCs w:val="16"/>
              </w:rPr>
            </w:pPr>
          </w:p>
          <w:p w:rsidR="00DF423F" w:rsidRPr="004A0ED8" w:rsidRDefault="00DF423F" w:rsidP="00DF423F">
            <w:pPr>
              <w:snapToGrid w:val="0"/>
              <w:spacing w:after="20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t>Existencia administratívnej kapacity na vykonávanie a uplatňovanie práva a politiky Únie týkajúcich sa rodovej rovnosti v oblasti EŠIF</w:t>
            </w: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54" w:type="pct"/>
            <w:shd w:val="clear" w:color="auto" w:fill="FFFFFF" w:themeFill="background1"/>
          </w:tcPr>
          <w:p w:rsidR="00DF423F" w:rsidRPr="008B6AC7" w:rsidRDefault="00DF423F" w:rsidP="00DF423F">
            <w:pPr>
              <w:snapToGrid w:val="0"/>
              <w:spacing w:after="20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t>Opatrenia v súlade s inštitucionálnym a právnym rámcom členských štátov na zapojenie orgánov zodpovedných za podporu rodovej rovnosti počas prípravy a vykonávania programov, a to vrátane poskytovania poradenstva o rodovej rovnosti v rámci činností spojených s EŠIF.</w:t>
            </w:r>
          </w:p>
        </w:tc>
        <w:tc>
          <w:tcPr>
            <w:tcW w:w="843" w:type="pct"/>
            <w:gridSpan w:val="2"/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 xml:space="preserve">Navýšenie administratívnych kapacít odboru rodovej rovnosti a rovnosti príležitostí MPSVR  SR. </w:t>
            </w:r>
          </w:p>
          <w:p w:rsidR="00DF423F" w:rsidRPr="004A0ED8" w:rsidRDefault="00DF423F" w:rsidP="00DF423F">
            <w:pPr>
              <w:snapToGrid w:val="0"/>
              <w:spacing w:after="20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 xml:space="preserve">Predloženie Stratégie rodovej rovnosti na roky 2014 až 2020. A Celoštátnej stratégie ochrany a podpory ľudských práv v SR.  </w:t>
            </w: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356" w:type="pct"/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30.10.2014 následne termín posunutý do 30.06.2015</w:t>
            </w:r>
          </w:p>
        </w:tc>
        <w:tc>
          <w:tcPr>
            <w:tcW w:w="356" w:type="pct"/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MPSVR SR</w:t>
            </w:r>
          </w:p>
        </w:tc>
        <w:tc>
          <w:tcPr>
            <w:tcW w:w="267" w:type="pct"/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2" w:type="pct"/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8" w:type="pct"/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68" w:type="pct"/>
            <w:gridSpan w:val="2"/>
            <w:shd w:val="clear" w:color="auto" w:fill="FFFFFF" w:themeFill="background1"/>
            <w:vAlign w:val="center"/>
          </w:tcPr>
          <w:p w:rsidR="00DF423F" w:rsidRPr="004A0ED8" w:rsidRDefault="00DF423F" w:rsidP="00DF423F">
            <w:pPr>
              <w:spacing w:after="120"/>
              <w:jc w:val="both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Vychádzajúc z Uznesenia vlády SR č. 519 z  15. októbra 2014 k Štruktúre subjektov implementácie EŠIF na programové obdobie 2014 – 2020 a zabezpečenie administratívnych kapacít do roku 2016, B 5.</w:t>
            </w:r>
          </w:p>
          <w:p w:rsidR="00DF423F" w:rsidRPr="004A0ED8" w:rsidRDefault="00DF423F" w:rsidP="00DF423F">
            <w:pPr>
              <w:spacing w:after="120"/>
              <w:jc w:val="both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Rozhodnutím ministra práce, sociálnych veci a rodiny SR bol za sledované obdobie navýšený stav administratívnych kapacít pre Odbor rodovej rovnosti a rovnosti príležitostí ako výkonný odbor gestorstva HP RMŽ a ND a to v nadväznosti na Opatrenia na zabezpečenie odbornej prípravy pre zamestnancov orgánov zapojených do riadenia a kontroly EŠIF v oblasti práva a politiky Únie v oblasti nediskriminácie. Uznesenie vlády SR č. 519/2014, bod B5, kde novovytvorené pracovné pozície nemajú mať dopad na štátny rozpočet. </w:t>
            </w:r>
          </w:p>
          <w:p w:rsidR="00D24EB2" w:rsidRPr="004A0ED8" w:rsidRDefault="00DF423F" w:rsidP="00DF423F">
            <w:pPr>
              <w:spacing w:after="120"/>
              <w:jc w:val="both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K 31.8.2016 je obsadených plný počet plánovaných miest – 14, z toho 11 na ORRRP a 3 miesta na odbore pre integráciu ľudí so ZP.</w:t>
            </w:r>
          </w:p>
          <w:p w:rsidR="00DF423F" w:rsidRPr="004A0ED8" w:rsidRDefault="00DF423F" w:rsidP="00DF423F">
            <w:pPr>
              <w:spacing w:after="120"/>
              <w:jc w:val="both"/>
              <w:rPr>
                <w:b/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 </w:t>
            </w:r>
            <w:r w:rsidR="00D24EB2"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>Splnenie EAK 2 bolo potvrdené zo strany EK dňa 6.3.2017</w:t>
            </w:r>
          </w:p>
        </w:tc>
      </w:tr>
      <w:tr w:rsidR="00DF423F" w:rsidRPr="008B6AC7" w:rsidTr="008B6AC7">
        <w:trPr>
          <w:jc w:val="center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23F" w:rsidRPr="004A0ED8" w:rsidRDefault="00DF423F" w:rsidP="00DF42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8B6AC7" w:rsidRDefault="00DF423F" w:rsidP="00DF423F">
            <w:pPr>
              <w:snapToGrid w:val="0"/>
              <w:spacing w:after="200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t>Opatrenia na zabezpečenie odbornej prípravy pre zamestnancov orgánov zapojených do riadenia a kontroly EŠIF v oblasti práva a politiky Únie týkajúcich sa rodovej rovnosti a jej uplatňovania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Vypracovanie stratégie vzdelávania a uskutočnenie vzdelávacích aktivít. 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30.06.2015 následne termín posunutý do  20.12.2016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MPSVR SR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sz w:val="18"/>
                <w:szCs w:val="18"/>
                <w:lang w:eastAsia="cs-CZ"/>
              </w:rPr>
              <w:t>Stratégia školenia AK vychádza z </w:t>
            </w:r>
            <w:r w:rsidRPr="004A0ED8">
              <w:rPr>
                <w:b/>
                <w:sz w:val="18"/>
                <w:szCs w:val="18"/>
                <w:lang w:eastAsia="cs-CZ"/>
              </w:rPr>
              <w:t>trojstupňového systému vzdelávania AK</w:t>
            </w:r>
            <w:r w:rsidRPr="004A0ED8">
              <w:rPr>
                <w:sz w:val="18"/>
                <w:szCs w:val="18"/>
                <w:lang w:eastAsia="cs-CZ"/>
              </w:rPr>
              <w:t xml:space="preserve">.  </w:t>
            </w:r>
            <w:r w:rsidRPr="004A0ED8">
              <w:rPr>
                <w:rFonts w:eastAsia="Arial Unicode MS"/>
                <w:sz w:val="18"/>
                <w:szCs w:val="18"/>
              </w:rPr>
              <w:t>Témy vzdelávania v oblasti rodovej rovnosti  v rámci odbornej prípravy RO a subjektov, zapojených do implementácie EIŠF, budú vychádzať z požiadaviek definovaných v EAK  realizované v rámci trojstupňového vzdelávania.</w:t>
            </w:r>
          </w:p>
          <w:p w:rsidR="00DF423F" w:rsidRPr="004A0ED8" w:rsidRDefault="00DF423F" w:rsidP="00DF423F">
            <w:pPr>
              <w:spacing w:after="120"/>
              <w:jc w:val="both"/>
              <w:rPr>
                <w:sz w:val="18"/>
                <w:szCs w:val="18"/>
                <w:lang w:eastAsia="cs-CZ"/>
              </w:rPr>
            </w:pPr>
            <w:r w:rsidRPr="004A0ED8">
              <w:rPr>
                <w:sz w:val="18"/>
                <w:szCs w:val="18"/>
                <w:lang w:eastAsia="cs-CZ"/>
              </w:rPr>
              <w:t>Vypracovaná stratégia školenia a informovania zamestnancov zapojených do riadenia EŠIF.</w:t>
            </w:r>
          </w:p>
          <w:p w:rsidR="00DF423F" w:rsidRPr="004A0ED8" w:rsidRDefault="00DF423F" w:rsidP="00DF423F">
            <w:pPr>
              <w:spacing w:after="120"/>
              <w:jc w:val="both"/>
              <w:rPr>
                <w:sz w:val="18"/>
                <w:szCs w:val="18"/>
                <w:lang w:eastAsia="cs-CZ"/>
              </w:rPr>
            </w:pPr>
            <w:r w:rsidRPr="004A0ED8">
              <w:rPr>
                <w:sz w:val="18"/>
                <w:szCs w:val="18"/>
                <w:lang w:eastAsia="cs-CZ"/>
              </w:rPr>
              <w:t>Zápis z koordinačnej porady CKO z 22.9.2016.</w:t>
            </w:r>
          </w:p>
          <w:p w:rsidR="00DF423F" w:rsidRPr="004A0ED8" w:rsidRDefault="00DF423F" w:rsidP="00DF423F">
            <w:pPr>
              <w:spacing w:after="120"/>
              <w:jc w:val="both"/>
              <w:rPr>
                <w:sz w:val="18"/>
                <w:szCs w:val="18"/>
                <w:lang w:eastAsia="cs-CZ"/>
              </w:rPr>
            </w:pPr>
            <w:r w:rsidRPr="004A0ED8">
              <w:rPr>
                <w:sz w:val="18"/>
                <w:szCs w:val="18"/>
                <w:lang w:eastAsia="cs-CZ"/>
              </w:rPr>
              <w:t xml:space="preserve">Uznesenie </w:t>
            </w:r>
            <w:r w:rsidRPr="004A0ED8">
              <w:rPr>
                <w:rFonts w:eastAsia="Arial Unicode MS"/>
                <w:sz w:val="18"/>
                <w:szCs w:val="18"/>
              </w:rPr>
              <w:t>Koordinačného výboru HP RMŽ a ND z 2.12.2016 o vytvorení pracovnej skupiny</w:t>
            </w:r>
          </w:p>
          <w:p w:rsidR="00DF423F" w:rsidRPr="004A0ED8" w:rsidRDefault="00DF423F" w:rsidP="00DF423F">
            <w:pPr>
              <w:spacing w:after="120"/>
              <w:jc w:val="both"/>
              <w:rPr>
                <w:sz w:val="18"/>
                <w:szCs w:val="18"/>
                <w:lang w:eastAsia="cs-CZ"/>
              </w:rPr>
            </w:pPr>
            <w:r w:rsidRPr="004A0ED8">
              <w:rPr>
                <w:sz w:val="18"/>
                <w:szCs w:val="18"/>
                <w:lang w:eastAsia="cs-CZ"/>
              </w:rPr>
              <w:t>Školiace a vzdelávacie aktivity a informovanie zamestnancov/kyň zapojených do využívania fondov; konferencie, publikácie a propagačné tlačoviny/materiály, zverejňovanie správ v národných a regionálnych/miestnych masmédiách a iné, bude vykonávať MPSVR ako gestor HP v spolupráci so SNSĽP a MVO.</w:t>
            </w:r>
          </w:p>
          <w:p w:rsidR="00DF423F" w:rsidRPr="004A0ED8" w:rsidRDefault="00DF423F" w:rsidP="00DF423F">
            <w:pPr>
              <w:spacing w:after="120"/>
              <w:jc w:val="both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  <w:lang w:eastAsia="cs-CZ"/>
              </w:rPr>
              <w:lastRenderedPageBreak/>
              <w:t xml:space="preserve">Školenie k rodovej rovnosti bude doplnené o kurzy rodovej rovnosti vo verejnej správe a e-learnigové školenie k rodovej rovnosti bolo akreditované zo strany MŠVVŠ SR a pod dohľadom </w:t>
            </w:r>
            <w:r w:rsidRPr="004A0ED8">
              <w:rPr>
                <w:sz w:val="18"/>
                <w:szCs w:val="18"/>
              </w:rPr>
              <w:t>ORRRP. Školenia sa už poskytujú rôznym verejným inštitúciám a sú dostupné pre riadenie EŠIF.</w:t>
            </w:r>
          </w:p>
          <w:p w:rsidR="00DF423F" w:rsidRPr="004A0ED8" w:rsidRDefault="00FF40F6" w:rsidP="00DF423F">
            <w:pPr>
              <w:spacing w:after="120"/>
              <w:jc w:val="both"/>
              <w:rPr>
                <w:b/>
                <w:sz w:val="18"/>
                <w:szCs w:val="18"/>
              </w:rPr>
            </w:pPr>
            <w:hyperlink r:id="rId21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http://isdv.fri.uniza.sk/CourseDetail.aspx?moduleId=26750</w:t>
              </w:r>
            </w:hyperlink>
          </w:p>
          <w:p w:rsidR="00DF423F" w:rsidRPr="004A0ED8" w:rsidRDefault="00FF40F6" w:rsidP="00DF423F">
            <w:pPr>
              <w:spacing w:after="120"/>
              <w:jc w:val="both"/>
              <w:rPr>
                <w:color w:val="0000FF"/>
                <w:sz w:val="18"/>
                <w:szCs w:val="18"/>
                <w:u w:val="single"/>
              </w:rPr>
            </w:pPr>
            <w:hyperlink r:id="rId22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http://isdv.fri.uniza.sk/CourseDetail.aspx?moduleId=26746</w:t>
              </w:r>
            </w:hyperlink>
          </w:p>
          <w:p w:rsidR="00D24EB2" w:rsidRPr="004A0ED8" w:rsidRDefault="00D24EB2" w:rsidP="00DF423F">
            <w:pPr>
              <w:spacing w:after="120"/>
              <w:jc w:val="both"/>
              <w:rPr>
                <w:sz w:val="18"/>
                <w:szCs w:val="18"/>
              </w:rPr>
            </w:pP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>Splnenie EAK 2 bolo potvrdené zo strany EK dňa 6.3.2017</w:t>
            </w:r>
          </w:p>
        </w:tc>
      </w:tr>
      <w:tr w:rsidR="00DF423F" w:rsidRPr="008B6AC7" w:rsidTr="008B6AC7">
        <w:trPr>
          <w:trHeight w:val="3955"/>
          <w:jc w:val="center"/>
        </w:trPr>
        <w:tc>
          <w:tcPr>
            <w:tcW w:w="546" w:type="pct"/>
            <w:vMerge w:val="restart"/>
            <w:shd w:val="clear" w:color="auto" w:fill="FFFFFF" w:themeFill="background1"/>
          </w:tcPr>
          <w:p w:rsidR="00DF423F" w:rsidRPr="004A0ED8" w:rsidRDefault="00DF423F" w:rsidP="00DF42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18"/>
                <w:szCs w:val="18"/>
              </w:rPr>
            </w:pPr>
            <w:r w:rsidRPr="004A0ED8">
              <w:rPr>
                <w:rFonts w:eastAsia="Calibri"/>
                <w:b/>
                <w:sz w:val="18"/>
                <w:szCs w:val="18"/>
              </w:rPr>
              <w:lastRenderedPageBreak/>
              <w:t>3. Zdravotné postihnutie</w:t>
            </w:r>
          </w:p>
          <w:p w:rsidR="00DF423F" w:rsidRPr="004A0ED8" w:rsidRDefault="00DF423F" w:rsidP="00DF423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</w:rPr>
            </w:pPr>
          </w:p>
          <w:p w:rsidR="00DF423F" w:rsidRPr="004A0ED8" w:rsidRDefault="00DF423F" w:rsidP="00DF423F">
            <w:pPr>
              <w:snapToGrid w:val="0"/>
              <w:spacing w:after="20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t>Existencia administratívnej kapacity na vykonávanie a uplatňovanie Dohovoru OSN o právach osôb so zdravotným postihnutím v oblasti EŠIF v súlade s rozhodnutím Rady 2010/48/ES</w:t>
            </w: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54" w:type="pct"/>
            <w:shd w:val="clear" w:color="auto" w:fill="FFFFFF" w:themeFill="background1"/>
          </w:tcPr>
          <w:p w:rsidR="00DF423F" w:rsidRPr="008B6AC7" w:rsidRDefault="00DF423F" w:rsidP="00DF423F">
            <w:pPr>
              <w:snapToGrid w:val="0"/>
              <w:spacing w:after="20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t>Opatrenia v súlade s inštitucionálnym a právnym rámcom členských štátov na vykonávanie konzultácií a zapojenie orgánov, ktoré sú zodpovedné za ochranu práv osôb so zdravotným postihnutím, alebo organizácií zastupujúcich osoby so zdravotným postihnutím, a ďalšie príslušné zainteresované osoby počas prípravy a vykonávania programov.</w:t>
            </w:r>
          </w:p>
        </w:tc>
        <w:tc>
          <w:tcPr>
            <w:tcW w:w="843" w:type="pct"/>
            <w:gridSpan w:val="2"/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Posilnenie administratívnych kapacít u orgánov zodpovedných za implementáciu Dohovoru OSN. </w:t>
            </w:r>
          </w:p>
          <w:p w:rsidR="00DF423F" w:rsidRPr="004A0ED8" w:rsidRDefault="00DF423F" w:rsidP="00DF423F">
            <w:pPr>
              <w:snapToGrid w:val="0"/>
              <w:spacing w:after="200"/>
              <w:jc w:val="both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Predloženie Celoštátnej stratégie ochrany a podpory ľudských práv v SR na rokovanie vlády SR. </w:t>
            </w:r>
          </w:p>
        </w:tc>
        <w:tc>
          <w:tcPr>
            <w:tcW w:w="356" w:type="pct"/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31.08.2014 následne termín posunutý do 30.06.2015</w:t>
            </w:r>
          </w:p>
        </w:tc>
        <w:tc>
          <w:tcPr>
            <w:tcW w:w="356" w:type="pct"/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MPSVR SR</w:t>
            </w:r>
          </w:p>
        </w:tc>
        <w:tc>
          <w:tcPr>
            <w:tcW w:w="267" w:type="pct"/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2" w:type="pct"/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423F" w:rsidRPr="004A0ED8" w:rsidRDefault="00DF423F" w:rsidP="004A0ED8">
            <w:pPr>
              <w:spacing w:after="20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8" w:type="pct"/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68" w:type="pct"/>
            <w:gridSpan w:val="2"/>
            <w:shd w:val="clear" w:color="auto" w:fill="FFFFFF" w:themeFill="background1"/>
            <w:vAlign w:val="center"/>
          </w:tcPr>
          <w:p w:rsidR="00DF423F" w:rsidRPr="004A0ED8" w:rsidRDefault="00DF423F" w:rsidP="00DF423F">
            <w:pPr>
              <w:spacing w:after="120"/>
              <w:jc w:val="both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Vychádzajúc z Uznesenia vlády SR č. 519 z  15. októbra 2014 k Štruktúre subjektov implementácie EŠIF na programové obdobie 2014 – 2020 a zabezpečenie administratívnych kapacít do roku 2016, B 5.</w:t>
            </w:r>
          </w:p>
          <w:p w:rsidR="00DF423F" w:rsidRPr="004A0ED8" w:rsidRDefault="00DF423F" w:rsidP="00DF423F">
            <w:pPr>
              <w:spacing w:after="120"/>
              <w:jc w:val="both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Rozhodnutím ministra práce, sociálnych veci a rodiny SR bol za sledované obdobie navýšený stav administratívnych kapacít pre Odbor Integrácie osôb so zdravotným postihnutím a to v nadväznosti na Opatrenia na zabezpečenie odbornej prípravy pre zamestnancov orgánov zapojených do riadenia a kontroly EŠIF v oblasti práva a politiky Únie v oblasti nediskriminácie. Uznesenie vlády SR č. 519/2014, bod B5, kde novovytvorené pracovné pozície nemajú mať dopad na štátny rozpočet.</w:t>
            </w:r>
          </w:p>
          <w:p w:rsidR="00DF423F" w:rsidRPr="004A0ED8" w:rsidRDefault="00DF423F" w:rsidP="00DF423F">
            <w:pPr>
              <w:spacing w:after="120"/>
              <w:jc w:val="both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Celkovo sú na OIOZP 3 ŠZM pre HP. Vytvorené systematizované miesta sú obsadené.</w:t>
            </w:r>
          </w:p>
          <w:p w:rsidR="00D24EB2" w:rsidRPr="004A0ED8" w:rsidRDefault="00D24EB2" w:rsidP="00DF423F">
            <w:pPr>
              <w:spacing w:after="120"/>
              <w:jc w:val="both"/>
              <w:rPr>
                <w:b/>
                <w:sz w:val="18"/>
                <w:szCs w:val="18"/>
              </w:rPr>
            </w:pP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>Splnenie EAK 3 bolo potvrdené zo strany EK dňa 6.3.2017</w:t>
            </w:r>
          </w:p>
        </w:tc>
      </w:tr>
      <w:tr w:rsidR="00DF423F" w:rsidRPr="008B6AC7" w:rsidTr="008B6AC7">
        <w:trPr>
          <w:jc w:val="center"/>
        </w:trPr>
        <w:tc>
          <w:tcPr>
            <w:tcW w:w="546" w:type="pct"/>
            <w:vMerge/>
            <w:shd w:val="clear" w:color="auto" w:fill="FFFFFF" w:themeFill="background1"/>
            <w:vAlign w:val="center"/>
          </w:tcPr>
          <w:p w:rsidR="00DF423F" w:rsidRPr="004A0ED8" w:rsidRDefault="00DF423F" w:rsidP="00DF42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23F" w:rsidRPr="008B6AC7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t xml:space="preserve">Opatrenia na zabezpečenie odbornej prípravy pre zamestnancov orgánov zapojených do riadenia a kontroly EŠIF v oblasti platného práva a politiky Únie a členských štátov týkajúcich sa zdravotného postihnutia vrátane dostupnosti a praktického uplatňovania </w:t>
            </w:r>
            <w:r w:rsidRPr="004A0ED8">
              <w:rPr>
                <w:sz w:val="18"/>
                <w:szCs w:val="18"/>
              </w:rPr>
              <w:lastRenderedPageBreak/>
              <w:t>Dohovoru OSN o právach osôb so zdravotným postihnutím transponovaného v právnych predpisoch Únie, a členských štátov.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both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lastRenderedPageBreak/>
              <w:t xml:space="preserve">Vypracovanie stratégie vzdelávania a uskutočnenie vzdelávacích aktivít. 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30.06.2015 následne termín posunutý do 20.12.2016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MPSVR SR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423F" w:rsidRPr="004A0ED8" w:rsidRDefault="00DF423F" w:rsidP="004A0ED8">
            <w:pPr>
              <w:spacing w:after="20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sz w:val="18"/>
                <w:szCs w:val="18"/>
                <w:lang w:eastAsia="cs-CZ"/>
              </w:rPr>
              <w:t xml:space="preserve">Stratégia školenia AK vychádza z trojstupňového systému vzdelávania AK.  </w:t>
            </w:r>
            <w:r w:rsidRPr="004A0ED8">
              <w:rPr>
                <w:rFonts w:eastAsia="Arial Unicode MS"/>
                <w:sz w:val="18"/>
                <w:szCs w:val="18"/>
              </w:rPr>
              <w:t>Témy vzdelávania v oblasti práv osôb so ZP v rámci odbornej prípravy RO a subjektov, zapojených do implementácie EIŠF, budú vychádzať z požiadaviek definovaných v EAK  realizované v rámci trojstupňového vzdelávania:</w:t>
            </w:r>
          </w:p>
          <w:p w:rsidR="00DF423F" w:rsidRPr="004A0ED8" w:rsidRDefault="00DF423F" w:rsidP="00DF423F">
            <w:pPr>
              <w:numPr>
                <w:ilvl w:val="0"/>
                <w:numId w:val="29"/>
              </w:numPr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rFonts w:eastAsia="Arial Unicode MS"/>
                <w:sz w:val="18"/>
                <w:szCs w:val="18"/>
              </w:rPr>
              <w:t>Základné vzdelávanie</w:t>
            </w:r>
          </w:p>
          <w:p w:rsidR="00DF423F" w:rsidRPr="004A0ED8" w:rsidRDefault="00DF423F" w:rsidP="00DF423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rFonts w:eastAsia="Arial Unicode MS"/>
                <w:sz w:val="18"/>
                <w:szCs w:val="18"/>
              </w:rPr>
              <w:t xml:space="preserve">Vzdelávanie o základných princípoch a pojmov v rámci centrálneho vzdelávania AK k Systému riadeniu EŠIF, ktoré je zabezpečovaná centrálne CKO. Základný modul v trvaní </w:t>
            </w:r>
            <w:r w:rsidRPr="004A0ED8">
              <w:rPr>
                <w:rFonts w:eastAsia="Arial Unicode MS"/>
                <w:sz w:val="18"/>
                <w:szCs w:val="18"/>
              </w:rPr>
              <w:lastRenderedPageBreak/>
              <w:t xml:space="preserve">1,5 hod obsahuje základné informácie </w:t>
            </w:r>
            <w:r w:rsidRPr="004A0ED8">
              <w:rPr>
                <w:rFonts w:eastAsia="Arial Unicode MS"/>
                <w:bCs/>
                <w:sz w:val="18"/>
                <w:szCs w:val="18"/>
              </w:rPr>
              <w:t>pri uplatňovaní HP v rámci EŠIF.</w:t>
            </w:r>
          </w:p>
          <w:p w:rsidR="00DF423F" w:rsidRPr="004A0ED8" w:rsidRDefault="00DF423F" w:rsidP="00DF423F">
            <w:pPr>
              <w:numPr>
                <w:ilvl w:val="0"/>
                <w:numId w:val="29"/>
              </w:numPr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rFonts w:eastAsia="Arial Unicode MS"/>
                <w:sz w:val="18"/>
                <w:szCs w:val="18"/>
              </w:rPr>
              <w:t xml:space="preserve">Dištančné všeobecné vzdelávanie </w:t>
            </w:r>
          </w:p>
          <w:p w:rsidR="00DF423F" w:rsidRPr="004A0ED8" w:rsidRDefault="00DF423F" w:rsidP="00DF423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Arial Unicode MS"/>
                <w:bCs/>
                <w:sz w:val="18"/>
                <w:szCs w:val="18"/>
              </w:rPr>
            </w:pPr>
            <w:r w:rsidRPr="004A0ED8">
              <w:rPr>
                <w:rFonts w:eastAsia="Arial Unicode MS"/>
                <w:sz w:val="18"/>
                <w:szCs w:val="18"/>
              </w:rPr>
              <w:t>Na absolvovanie základného vzdelávania bude nadväzovať všeobecné vzdelávanie dištančnou formou e-learningu, ktorý je pripravovaný CKO pre všetky oblasti Systému riadenia EŠIF. Obsah e-learningového kurzu bude vypracovaný ORRRP v spolupráci so SNSĽP  a externými odborníkmi a odborníčkami z MVO.</w:t>
            </w:r>
          </w:p>
          <w:p w:rsidR="00DF423F" w:rsidRPr="004A0ED8" w:rsidRDefault="00DF423F" w:rsidP="00DF423F">
            <w:pPr>
              <w:numPr>
                <w:ilvl w:val="0"/>
                <w:numId w:val="29"/>
              </w:numPr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rFonts w:eastAsia="Arial Unicode MS"/>
                <w:sz w:val="18"/>
                <w:szCs w:val="18"/>
              </w:rPr>
              <w:t>Špecifické prezenčné vzdelávanie</w:t>
            </w:r>
          </w:p>
          <w:p w:rsidR="00DF423F" w:rsidRPr="004A0ED8" w:rsidRDefault="00DF423F" w:rsidP="00DF423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rFonts w:eastAsia="Arial Unicode MS"/>
                <w:sz w:val="18"/>
                <w:szCs w:val="18"/>
              </w:rPr>
              <w:t>Špecifické vzdelávanie zamerané na konkrétne oblasti uplatňovania HO v rámci jednotlivých OP, vrátane praktických cvičení zameraných podľa zodpovedností prítomných AK. Vzdelávacie kurzy budú zahrnuté do systému vzdelávania jednotlivých RO v rámci ich projektov TA.</w:t>
            </w:r>
          </w:p>
          <w:p w:rsidR="00DF423F" w:rsidRPr="004A0ED8" w:rsidRDefault="00DF423F" w:rsidP="00DF423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rFonts w:eastAsia="Arial Unicode MS"/>
                <w:sz w:val="18"/>
                <w:szCs w:val="18"/>
              </w:rPr>
              <w:t>Dňa 2.12.2016 sa konalo zasadnutie Koordinačného výboru HP RMŽ a ND, kde sa členovia a členky výboru uzniesli, že pod Koordinačným výborom HP RMŽ a ND vzniká špeciálna Pracovná skupina pre vzdelávanie Gestora HP RMŽ a ND.</w:t>
            </w:r>
          </w:p>
          <w:p w:rsidR="00DF423F" w:rsidRPr="004A0ED8" w:rsidRDefault="00DF423F" w:rsidP="00DF423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rFonts w:eastAsia="Arial Unicode MS"/>
                <w:sz w:val="18"/>
                <w:szCs w:val="18"/>
              </w:rPr>
              <w:t>RO predložili plány vzdelávania na rok 2017, z ktorých vyplýva zaradenie špecifického vzdelávania k nediskriminácii vrátane práv osôb so ZP pre stanovené AK v zmysle Stratégie vzdelávania administratívnych kapacít zapojených do riadenia EŠIF pre horizontálne princípy rovnosť  mužov a žien  a nediskriminácia (PO 2014-2020).</w:t>
            </w:r>
          </w:p>
          <w:p w:rsidR="00D24EB2" w:rsidRPr="004A0ED8" w:rsidRDefault="00D24EB2" w:rsidP="00DF423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>Splnenie EAK 3 bolo potvrdené zo strany EK dňa 6.3.2017</w:t>
            </w:r>
          </w:p>
        </w:tc>
      </w:tr>
      <w:tr w:rsidR="00DF423F" w:rsidRPr="008B6AC7" w:rsidTr="008B6AC7">
        <w:trPr>
          <w:trHeight w:val="1637"/>
          <w:jc w:val="center"/>
        </w:trPr>
        <w:tc>
          <w:tcPr>
            <w:tcW w:w="54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423F" w:rsidRPr="004A0ED8" w:rsidRDefault="00DF423F" w:rsidP="00DF423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423F" w:rsidRPr="008B6AC7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t>Opatrenia na zabezpečenie sledovania vykonávania článku 9 Dohovoru OSN o právach osôb so zdravotným postihnutím vo vzťahu k EŠIF počas prípravy a vykonávania programov.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both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Zapracovanie článku 9 Dohovoru OSN do všetkých OP, riadiacej dokumentácie . Uplatňovanie v hodnotení, monitorovaní, a kontrole</w:t>
            </w:r>
            <w:r w:rsidRPr="004A0ED8">
              <w:rPr>
                <w:sz w:val="18"/>
                <w:szCs w:val="18"/>
                <w:lang w:val="en-US"/>
              </w:rPr>
              <w:t xml:space="preserve">; príprava Assessment Grid. </w:t>
            </w:r>
            <w:r w:rsidRPr="004A0ED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31.10.2014 následne termín posunutý do 30.04.2015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MPSVR SR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423F" w:rsidRPr="004A0ED8" w:rsidRDefault="00DF423F" w:rsidP="004A0ED8">
            <w:pPr>
              <w:spacing w:after="200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423F" w:rsidRPr="004A0ED8" w:rsidRDefault="00DF423F" w:rsidP="00DF423F">
            <w:pPr>
              <w:autoSpaceDE w:val="0"/>
              <w:autoSpaceDN w:val="0"/>
              <w:adjustRightInd w:val="0"/>
              <w:spacing w:after="120"/>
              <w:jc w:val="both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Vypracovaná riadiaca dokumentácia zahŕňa opatrenia zabezpečenie sledovania vykonávania článku 9 Dohovoru OSN o právach osôb so zdravotným postihnutím.</w:t>
            </w:r>
          </w:p>
          <w:p w:rsidR="00D24EB2" w:rsidRPr="004A0ED8" w:rsidRDefault="00D24EB2" w:rsidP="00DF423F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Arial Unicode MS"/>
                <w:sz w:val="18"/>
                <w:szCs w:val="18"/>
              </w:rPr>
            </w:pP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>Splnenie EAK 3 bolo potvrdené zo strany EK dňa 6.3.2017</w:t>
            </w:r>
          </w:p>
        </w:tc>
      </w:tr>
      <w:tr w:rsidR="00DF423F" w:rsidRPr="008B6AC7" w:rsidTr="008B6AC7">
        <w:trPr>
          <w:jc w:val="center"/>
        </w:trPr>
        <w:tc>
          <w:tcPr>
            <w:tcW w:w="546" w:type="pct"/>
            <w:vMerge w:val="restart"/>
            <w:shd w:val="clear" w:color="auto" w:fill="auto"/>
          </w:tcPr>
          <w:p w:rsidR="00DF423F" w:rsidRPr="004A0ED8" w:rsidRDefault="00DF423F" w:rsidP="00DF423F">
            <w:pPr>
              <w:rPr>
                <w:b/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lastRenderedPageBreak/>
              <w:t>4. Verejné obstarávanie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Existencia pravidiel na efektívnu aplikáciu legislatívy EÚ v oblasti verejného obstarávania </w:t>
            </w:r>
          </w:p>
        </w:tc>
        <w:tc>
          <w:tcPr>
            <w:tcW w:w="654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1.</w:t>
            </w:r>
            <w:r w:rsidRPr="004A0ED8">
              <w:rPr>
                <w:sz w:val="18"/>
                <w:szCs w:val="18"/>
              </w:rPr>
              <w:t xml:space="preserve"> Opatrenia na účinné uplatňovanie pravidiel Únie o verejnom obstarávaní prostredníctvom primeraných mechanizmov.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1.1 </w:t>
            </w:r>
            <w:r w:rsidRPr="004A0ED8">
              <w:rPr>
                <w:sz w:val="18"/>
                <w:szCs w:val="18"/>
              </w:rPr>
              <w:t>Prijatie   nového zákona č. 343/2015 Z .z. o verejnom obstarávaní o verejnom obstarávaní a o zmene a doplnení niektorých zákonov, ktorým boli transponované nové smernice o VO.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1.2 </w:t>
            </w:r>
            <w:r w:rsidRPr="004A0ED8">
              <w:rPr>
                <w:sz w:val="18"/>
                <w:szCs w:val="18"/>
              </w:rPr>
              <w:t xml:space="preserve">Elektronické verejné obstarávanie: Systém EKS a rozšírenie funkcionalít EVO. Vypracovaná národná stratégia elektronizácie procesu verejného obstarávania zo strany OECD.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1.3 </w:t>
            </w:r>
            <w:r w:rsidRPr="004A0ED8">
              <w:rPr>
                <w:sz w:val="18"/>
                <w:szCs w:val="18"/>
              </w:rPr>
              <w:t>Dohoda o spolupráci s ÚVO.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1.4 </w:t>
            </w:r>
            <w:r w:rsidRPr="004A0ED8">
              <w:rPr>
                <w:sz w:val="18"/>
                <w:szCs w:val="18"/>
              </w:rPr>
              <w:t>Zavedenie analýzy rizík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1.5 </w:t>
            </w:r>
            <w:r w:rsidRPr="004A0ED8">
              <w:rPr>
                <w:sz w:val="18"/>
                <w:szCs w:val="18"/>
              </w:rPr>
              <w:t>Vzorové dokumenty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1.6</w:t>
            </w:r>
            <w:r w:rsidRPr="004A0ED8">
              <w:rPr>
                <w:sz w:val="18"/>
                <w:szCs w:val="18"/>
              </w:rPr>
              <w:t xml:space="preserve"> Vypracovanie kontrolných zoznamov</w:t>
            </w:r>
          </w:p>
          <w:p w:rsidR="00DF423F" w:rsidRPr="004A0ED8" w:rsidRDefault="00DF423F" w:rsidP="00DF423F">
            <w:pPr>
              <w:ind w:right="-95"/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1.7 </w:t>
            </w:r>
            <w:r w:rsidRPr="004A0ED8">
              <w:rPr>
                <w:sz w:val="18"/>
                <w:szCs w:val="18"/>
              </w:rPr>
              <w:t>Príprava jednotných pravidiel a požiadaviek na VO a požiadaviek na dokumentáciu VO.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1.8 </w:t>
            </w:r>
            <w:r w:rsidRPr="004A0ED8">
              <w:rPr>
                <w:sz w:val="18"/>
                <w:szCs w:val="18"/>
              </w:rPr>
              <w:t>Zavedenie povinnej ex ante kontroly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1.9 </w:t>
            </w:r>
            <w:r w:rsidRPr="004A0ED8">
              <w:rPr>
                <w:sz w:val="18"/>
                <w:szCs w:val="18"/>
              </w:rPr>
              <w:t>Zvedenie spolupráce s Protimonopolným úradom SR.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1.10 </w:t>
            </w:r>
            <w:r w:rsidRPr="004A0ED8">
              <w:rPr>
                <w:sz w:val="18"/>
                <w:szCs w:val="18"/>
              </w:rPr>
              <w:t>Zavedenie cenových máp, benchmarkov a limitov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1.11 </w:t>
            </w:r>
            <w:r w:rsidRPr="004A0ED8">
              <w:rPr>
                <w:sz w:val="18"/>
                <w:szCs w:val="18"/>
              </w:rPr>
              <w:t xml:space="preserve">Konflikt záujmov. Vydaný MP CKO ku konfliktu záujmov. Posudzovanie konfliktu záujmov zapracované aj do nového ZVO.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1.12</w:t>
            </w:r>
            <w:r w:rsidRPr="004A0ED8">
              <w:rPr>
                <w:sz w:val="18"/>
                <w:szCs w:val="18"/>
              </w:rPr>
              <w:t xml:space="preserve"> Opatrenia na odstránenie nedostatočnej hospodárskej súťaže na úrovni ZVO ako aj na úrovni Systému riadenia EŠIF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zákon o verejnom obstarávaní</w:t>
            </w: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31.08.2016 následne termín posunutý do</w:t>
            </w:r>
          </w:p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31.12.2016</w:t>
            </w: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ÚVO, CKO, MV SR, OECD, PMÚ</w:t>
            </w:r>
          </w:p>
        </w:tc>
        <w:tc>
          <w:tcPr>
            <w:tcW w:w="267" w:type="pct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áno</w:t>
            </w:r>
          </w:p>
        </w:tc>
        <w:tc>
          <w:tcPr>
            <w:tcW w:w="222" w:type="pct"/>
            <w:shd w:val="clear" w:color="auto" w:fill="auto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423F" w:rsidRPr="004A0ED8" w:rsidRDefault="00DF423F" w:rsidP="004A0ED8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68" w:type="pct"/>
            <w:gridSpan w:val="2"/>
            <w:shd w:val="clear" w:color="auto" w:fill="auto"/>
          </w:tcPr>
          <w:p w:rsidR="00DF423F" w:rsidRPr="004A0ED8" w:rsidRDefault="00D24EB2" w:rsidP="00D24EB2">
            <w:pPr>
              <w:rPr>
                <w:sz w:val="18"/>
                <w:szCs w:val="18"/>
              </w:rPr>
            </w:pP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>Splnenie EAK 4 bolo potvrdené zo strany EK dňa 9.3.2017</w:t>
            </w:r>
          </w:p>
        </w:tc>
      </w:tr>
      <w:tr w:rsidR="00DF423F" w:rsidRPr="008B6AC7" w:rsidTr="008B6AC7">
        <w:trPr>
          <w:jc w:val="center"/>
        </w:trPr>
        <w:tc>
          <w:tcPr>
            <w:tcW w:w="546" w:type="pct"/>
            <w:vMerge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bCs/>
                <w:sz w:val="18"/>
                <w:szCs w:val="18"/>
              </w:rPr>
              <w:t>2.</w:t>
            </w:r>
            <w:r w:rsidRPr="004A0ED8">
              <w:rPr>
                <w:bCs/>
                <w:sz w:val="18"/>
                <w:szCs w:val="18"/>
              </w:rPr>
              <w:t xml:space="preserve"> Opatrenia, ktorými sa zabezpečia transparentné postupy prideľovania zákaziek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2.1</w:t>
            </w:r>
            <w:r w:rsidRPr="004A0ED8">
              <w:rPr>
                <w:sz w:val="18"/>
                <w:szCs w:val="18"/>
              </w:rPr>
              <w:t xml:space="preserve"> Aktuálny zákon o verejnom obstarávaní plne odzrkadľuje princípy VO uvádzané 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lastRenderedPageBreak/>
              <w:t>2.2</w:t>
            </w:r>
            <w:r w:rsidRPr="004A0ED8">
              <w:rPr>
                <w:sz w:val="18"/>
                <w:szCs w:val="18"/>
              </w:rPr>
              <w:t xml:space="preserve"> Ďalej tento druh zákaziek popisuje  Systém riadenia európskych štrukturálnych a investičných fondov Programové obdobie 2014 – 2020 Verzia 1 20. 11. 2014.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  <w:u w:val="single"/>
              </w:rPr>
            </w:pPr>
            <w:r w:rsidRPr="004A0ED8">
              <w:rPr>
                <w:b/>
                <w:sz w:val="18"/>
                <w:szCs w:val="18"/>
              </w:rPr>
              <w:t>2.3</w:t>
            </w:r>
            <w:r w:rsidRPr="004A0ED8">
              <w:rPr>
                <w:sz w:val="18"/>
                <w:szCs w:val="18"/>
              </w:rPr>
              <w:t xml:space="preserve"> Metodický pokyn č.14 pre zákazky nad 5000 eur s dátumom účinnosti 18.3.2015  </w:t>
            </w:r>
          </w:p>
          <w:p w:rsidR="00DF423F" w:rsidRPr="004A0ED8" w:rsidRDefault="00DF423F" w:rsidP="00DF423F">
            <w:pPr>
              <w:rPr>
                <w:sz w:val="18"/>
                <w:szCs w:val="18"/>
                <w:u w:val="single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2.4</w:t>
            </w:r>
            <w:r w:rsidRPr="004A0ED8">
              <w:rPr>
                <w:sz w:val="18"/>
                <w:szCs w:val="18"/>
              </w:rPr>
              <w:t xml:space="preserve"> Centrálne zverejňovacie miesto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2.5</w:t>
            </w:r>
            <w:r w:rsidRPr="004A0ED8">
              <w:rPr>
                <w:sz w:val="18"/>
                <w:szCs w:val="18"/>
              </w:rPr>
              <w:t xml:space="preserve"> Partnerská dohoda kapitoly 3.3.7.2.6.1 až 3.3.7.2.6.3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2.6</w:t>
            </w:r>
            <w:r w:rsidRPr="004A0ED8">
              <w:rPr>
                <w:sz w:val="18"/>
                <w:szCs w:val="18"/>
              </w:rPr>
              <w:t xml:space="preserve"> Riziková analýza zákaziek do 1000 Eur.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lastRenderedPageBreak/>
              <w:t>30.06.2015</w:t>
            </w:r>
            <w:r w:rsidRPr="004A0ED8">
              <w:rPr>
                <w:sz w:val="18"/>
                <w:szCs w:val="18"/>
              </w:rPr>
              <w:br/>
              <w:t>následne termín posunutý do 29.2.2016</w:t>
            </w: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ÚVO, CKO</w:t>
            </w:r>
          </w:p>
        </w:tc>
        <w:tc>
          <w:tcPr>
            <w:tcW w:w="267" w:type="pct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áno</w:t>
            </w:r>
          </w:p>
        </w:tc>
        <w:tc>
          <w:tcPr>
            <w:tcW w:w="222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áno</w:t>
            </w:r>
          </w:p>
        </w:tc>
        <w:tc>
          <w:tcPr>
            <w:tcW w:w="288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Prijatý zákon o verejnom obstarávaní  </w:t>
            </w:r>
            <w:hyperlink r:id="rId23" w:history="1">
              <w:r w:rsidRPr="004A0ED8">
                <w:rPr>
                  <w:color w:val="0000FF"/>
                  <w:sz w:val="18"/>
                  <w:szCs w:val="18"/>
                  <w:u w:val="single"/>
                </w:rPr>
                <w:t>https://www.slov-lex.sk/pravne-predpisy/-/SK/ZZ/2015/343/20160418</w:t>
              </w:r>
            </w:hyperlink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lastRenderedPageBreak/>
              <w:t xml:space="preserve">Systém riadenia EŠIF Programového obdobia 2014-2020 verzia 1 20.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  <w:u w:val="single"/>
              </w:rPr>
            </w:pPr>
            <w:r w:rsidRPr="004A0ED8">
              <w:rPr>
                <w:sz w:val="18"/>
                <w:szCs w:val="18"/>
              </w:rPr>
              <w:t xml:space="preserve">Metodický pokyn č.14 pre zákazky nad 5000 eur s dátumom účinnosti 18.3.2015  </w:t>
            </w:r>
            <w:hyperlink r:id="rId24" w:history="1">
              <w:r w:rsidRPr="004A0ED8">
                <w:rPr>
                  <w:color w:val="0000FF"/>
                  <w:sz w:val="18"/>
                  <w:szCs w:val="18"/>
                  <w:u w:val="single"/>
                </w:rPr>
                <w:t>http://www.partnerskadohoda.gov.sk/data/att/54.zip</w:t>
              </w:r>
            </w:hyperlink>
            <w:r w:rsidRPr="004A0ED8">
              <w:rPr>
                <w:sz w:val="18"/>
                <w:szCs w:val="18"/>
                <w:u w:val="single"/>
              </w:rPr>
              <w:t xml:space="preserve">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Centrálne zverejňovacie miesto</w:t>
            </w:r>
          </w:p>
          <w:p w:rsidR="00DF423F" w:rsidRPr="004A0ED8" w:rsidRDefault="00FF40F6" w:rsidP="00DF423F">
            <w:pPr>
              <w:rPr>
                <w:sz w:val="18"/>
                <w:szCs w:val="18"/>
              </w:rPr>
            </w:pPr>
            <w:hyperlink r:id="rId25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http://www.partnerskadohoda.gov.sk/zakazky-v-hodnote-nad-5-000-eur /</w:t>
              </w:r>
            </w:hyperlink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Partnerská dohoda kapitoly 3.3.7.2.6.1 až 3.3.7.2.6.3</w:t>
            </w:r>
          </w:p>
          <w:p w:rsidR="00DF423F" w:rsidRPr="004A0ED8" w:rsidRDefault="00FF40F6" w:rsidP="00DF423F">
            <w:pPr>
              <w:rPr>
                <w:sz w:val="18"/>
                <w:szCs w:val="18"/>
              </w:rPr>
            </w:pPr>
            <w:hyperlink r:id="rId26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http://www.partnerskadohoda.gov.sk/data/files/165_system-riadenia-esif-verzia-2.zip</w:t>
              </w:r>
            </w:hyperlink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6</w:t>
            </w:r>
            <w:r w:rsidRPr="004A0ED8">
              <w:rPr>
                <w:sz w:val="18"/>
                <w:szCs w:val="18"/>
              </w:rPr>
              <w:t xml:space="preserve"> Riziková analýza zákaziek do 1000 Eur. </w:t>
            </w:r>
          </w:p>
          <w:p w:rsidR="00DF423F" w:rsidRPr="004A0ED8" w:rsidRDefault="00FF40F6" w:rsidP="00DF423F">
            <w:pPr>
              <w:rPr>
                <w:sz w:val="18"/>
                <w:szCs w:val="18"/>
              </w:rPr>
            </w:pPr>
            <w:hyperlink r:id="rId27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http://www.partnerskadohoda.gov.sk/data/att/115.zip</w:t>
              </w:r>
            </w:hyperlink>
            <w:r w:rsidR="00DF423F" w:rsidRPr="004A0ED8">
              <w:rPr>
                <w:sz w:val="18"/>
                <w:szCs w:val="18"/>
              </w:rPr>
              <w:t xml:space="preserve">  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Del="00111429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Vyhodnotené ako splnené zo strany EK dňa 29.2.2016</w:t>
            </w:r>
          </w:p>
        </w:tc>
      </w:tr>
      <w:tr w:rsidR="00DF423F" w:rsidRPr="008B6AC7" w:rsidTr="008B6AC7">
        <w:trPr>
          <w:jc w:val="center"/>
        </w:trPr>
        <w:tc>
          <w:tcPr>
            <w:tcW w:w="546" w:type="pct"/>
            <w:vMerge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3.</w:t>
            </w:r>
            <w:r w:rsidRPr="004A0ED8">
              <w:rPr>
                <w:sz w:val="18"/>
                <w:szCs w:val="18"/>
              </w:rPr>
              <w:t xml:space="preserve"> Opatrenia na zabezpečenie odbornej prípravy a informovanie zamestnancov zapojených do vykonávania EŠIF.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3.1</w:t>
            </w:r>
            <w:r w:rsidRPr="004A0ED8">
              <w:rPr>
                <w:sz w:val="18"/>
                <w:szCs w:val="18"/>
              </w:rPr>
              <w:t xml:space="preserve"> Koordinačný výbor pre oblasť verejného obstarávania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3.2 </w:t>
            </w:r>
            <w:r w:rsidRPr="004A0ED8">
              <w:rPr>
                <w:sz w:val="18"/>
                <w:szCs w:val="18"/>
              </w:rPr>
              <w:t xml:space="preserve">Zabezpečovanie školení v oblasti verejného obstarávania zo strany CKO a ÚVO.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3.3 </w:t>
            </w:r>
            <w:r w:rsidRPr="004A0ED8">
              <w:rPr>
                <w:sz w:val="18"/>
                <w:szCs w:val="18"/>
              </w:rPr>
              <w:t xml:space="preserve">Zriadenie centrálneho odboru pre vzdelávanie v rámci AK ĚISF od 1.1.2016.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3.4 </w:t>
            </w:r>
            <w:r w:rsidRPr="004A0ED8">
              <w:rPr>
                <w:sz w:val="18"/>
                <w:szCs w:val="18"/>
              </w:rPr>
              <w:t>Vypracovanie národnej stratégie vzdelávania v oblasti verejného obstarávania v rámci asistenčného projektu OECD.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3.5 </w:t>
            </w:r>
            <w:r w:rsidRPr="004A0ED8">
              <w:rPr>
                <w:sz w:val="18"/>
                <w:szCs w:val="18"/>
              </w:rPr>
              <w:t xml:space="preserve">ÚVO vyhotovilo prezentačné školiace videá k vybraným problémom z oblasti verejného obstarávania. </w:t>
            </w: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30.06.2015 následne termín posunutý do  31.12.2016</w:t>
            </w: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ÚVO, CKO, MV SR, OECD, AK EŠIF</w:t>
            </w:r>
          </w:p>
        </w:tc>
        <w:tc>
          <w:tcPr>
            <w:tcW w:w="267" w:type="pct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áno</w:t>
            </w:r>
          </w:p>
        </w:tc>
        <w:tc>
          <w:tcPr>
            <w:tcW w:w="222" w:type="pct"/>
            <w:shd w:val="clear" w:color="auto" w:fill="auto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423F" w:rsidRPr="004A0ED8" w:rsidRDefault="00DF423F" w:rsidP="004A0ED8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Koordinačný výbor pre oblasť verejného obstarávania </w:t>
            </w:r>
            <w:hyperlink r:id="rId28" w:history="1">
              <w:r w:rsidRPr="004A0ED8">
                <w:rPr>
                  <w:color w:val="0000FF"/>
                  <w:sz w:val="18"/>
                  <w:szCs w:val="18"/>
                  <w:u w:val="single"/>
                </w:rPr>
                <w:t>https://www.uvo.gov.sk/informacny-servis/koordinacny-vybor-394.html</w:t>
              </w:r>
            </w:hyperlink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Školenia v oblasti verejného obstarávania zo strany CKO a ÚVO. </w:t>
            </w:r>
            <w:hyperlink r:id="rId29" w:history="1">
              <w:r w:rsidRPr="004A0ED8">
                <w:rPr>
                  <w:color w:val="0000FF"/>
                  <w:sz w:val="18"/>
                  <w:szCs w:val="18"/>
                  <w:u w:val="single"/>
                </w:rPr>
                <w:t>http://www.uvo.gov.sk/informacny-servis/skolenia-uradu/skolenia-uradu-4a3.html</w:t>
              </w:r>
            </w:hyperlink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prezentačné školiace videá k vybraným problémom z oblasti verejného obstarávania. </w:t>
            </w:r>
            <w:hyperlink r:id="rId30" w:history="1">
              <w:r w:rsidRPr="004A0ED8">
                <w:rPr>
                  <w:color w:val="0000FF"/>
                  <w:sz w:val="18"/>
                  <w:szCs w:val="18"/>
                  <w:u w:val="single"/>
                </w:rPr>
                <w:t>https://www.uvo.gov.sk/legislativametodika-dohlad/zakon-o-verejnom-obstaravani-c-3432015-z-z/prezentacne-videa-55a.html</w:t>
              </w:r>
            </w:hyperlink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Del="00111429" w:rsidRDefault="00D24EB2" w:rsidP="00DF423F">
            <w:pPr>
              <w:rPr>
                <w:i/>
                <w:sz w:val="18"/>
                <w:szCs w:val="18"/>
              </w:rPr>
            </w:pP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>Splnenie EAK 4 bolo potvrdené zo strany EK dňa 9.3.2017</w:t>
            </w:r>
          </w:p>
        </w:tc>
      </w:tr>
      <w:tr w:rsidR="00DF423F" w:rsidRPr="008B6AC7" w:rsidTr="008B6AC7">
        <w:trPr>
          <w:jc w:val="center"/>
        </w:trPr>
        <w:tc>
          <w:tcPr>
            <w:tcW w:w="546" w:type="pct"/>
            <w:vMerge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bCs/>
                <w:sz w:val="18"/>
                <w:szCs w:val="18"/>
              </w:rPr>
              <w:t>4.</w:t>
            </w:r>
            <w:r w:rsidRPr="004A0ED8">
              <w:rPr>
                <w:bCs/>
                <w:sz w:val="18"/>
                <w:szCs w:val="18"/>
              </w:rPr>
              <w:t xml:space="preserve"> Opatrenia na zabezpečenie administratívnej kapacity na vykonávanie a </w:t>
            </w:r>
            <w:r w:rsidRPr="004A0ED8">
              <w:rPr>
                <w:bCs/>
                <w:sz w:val="18"/>
                <w:szCs w:val="18"/>
              </w:rPr>
              <w:lastRenderedPageBreak/>
              <w:t>uplatňovanie pravidiel Únie o verejnom obstarávaní.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lastRenderedPageBreak/>
              <w:t>4.1</w:t>
            </w:r>
            <w:r w:rsidRPr="004A0ED8">
              <w:rPr>
                <w:sz w:val="18"/>
                <w:szCs w:val="18"/>
              </w:rPr>
              <w:t xml:space="preserve"> Analýza stavu administratívnych kapacít: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lastRenderedPageBreak/>
              <w:t>4.2</w:t>
            </w:r>
            <w:r w:rsidRPr="004A0ED8">
              <w:rPr>
                <w:sz w:val="18"/>
                <w:szCs w:val="18"/>
              </w:rPr>
              <w:t xml:space="preserve"> Metodický pokyn CKO č. 21 k  zberu dát k stavu administratívnych kapacít: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4.3</w:t>
            </w:r>
            <w:r w:rsidRPr="004A0ED8">
              <w:rPr>
                <w:sz w:val="18"/>
                <w:szCs w:val="18"/>
              </w:rPr>
              <w:t xml:space="preserve"> Uznesenia vlády k navýšeniu administratívnych kapacít: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4.4</w:t>
            </w:r>
            <w:r w:rsidRPr="004A0ED8">
              <w:rPr>
                <w:sz w:val="18"/>
                <w:szCs w:val="18"/>
              </w:rPr>
              <w:t xml:space="preserve"> Dohody o spolupráci s ÚVO a PMÚ a 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Technická asistencia pre  ÚVO.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4.5</w:t>
            </w:r>
            <w:r w:rsidRPr="004A0ED8">
              <w:rPr>
                <w:sz w:val="18"/>
                <w:szCs w:val="18"/>
              </w:rPr>
              <w:t xml:space="preserve"> Technická asistencia pre PMÚ.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4.6</w:t>
            </w:r>
            <w:r w:rsidRPr="004A0ED8">
              <w:rPr>
                <w:sz w:val="18"/>
                <w:szCs w:val="18"/>
              </w:rPr>
              <w:t xml:space="preserve"> Metodická činnosť ÚVO.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>4.7</w:t>
            </w:r>
            <w:r w:rsidRPr="004A0ED8">
              <w:rPr>
                <w:sz w:val="18"/>
                <w:szCs w:val="18"/>
              </w:rPr>
              <w:t xml:space="preserve"> Školenia ÚVO.</w:t>
            </w: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lastRenderedPageBreak/>
              <w:t>30.06.2015 následne termín posunutý do</w:t>
            </w:r>
          </w:p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lastRenderedPageBreak/>
              <w:t>31.12.2016</w:t>
            </w: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lastRenderedPageBreak/>
              <w:t>ÚVO, CKO, PMÚ, OPTP</w:t>
            </w:r>
          </w:p>
        </w:tc>
        <w:tc>
          <w:tcPr>
            <w:tcW w:w="267" w:type="pct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áno</w:t>
            </w:r>
          </w:p>
        </w:tc>
        <w:tc>
          <w:tcPr>
            <w:tcW w:w="222" w:type="pct"/>
            <w:shd w:val="clear" w:color="auto" w:fill="auto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DF423F" w:rsidRPr="004A0ED8" w:rsidRDefault="00DF423F" w:rsidP="004A0ED8">
            <w:pPr>
              <w:rPr>
                <w:sz w:val="18"/>
                <w:szCs w:val="18"/>
              </w:rPr>
            </w:pPr>
          </w:p>
        </w:tc>
        <w:tc>
          <w:tcPr>
            <w:tcW w:w="288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N/A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Analýza stavu administratívnych kapacít:</w:t>
            </w:r>
          </w:p>
          <w:p w:rsidR="00DF423F" w:rsidRPr="004A0ED8" w:rsidRDefault="00FF40F6" w:rsidP="00DF423F">
            <w:pPr>
              <w:rPr>
                <w:sz w:val="18"/>
                <w:szCs w:val="18"/>
              </w:rPr>
            </w:pPr>
            <w:hyperlink r:id="rId31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http://www.nsrr.sk/download.php?FNAME=1407919938.upl&amp;ANAME=Analysis_AC_and_efficiency_of_entities_responsible_for_the_ESIF_and_of_AC_of_beneficiaries_EJ.rar</w:t>
              </w:r>
            </w:hyperlink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Metodický pokyn CKO č. 21 k  zberu dát k stavu administratívnych kapacít: </w:t>
            </w:r>
          </w:p>
          <w:p w:rsidR="00DF423F" w:rsidRPr="004A0ED8" w:rsidRDefault="00FF40F6" w:rsidP="00DF423F">
            <w:pPr>
              <w:rPr>
                <w:sz w:val="18"/>
                <w:szCs w:val="18"/>
              </w:rPr>
            </w:pPr>
            <w:hyperlink r:id="rId32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http://www.partnerskadohoda.gov.sk/mp-cko-c-21-verzia-2-informacia-o-stave-administrativnych-kapacit-subjektov-zapojenych-do-implementacie-riadenia-a-kontroly-europskych-strukturalnych-a-investicnych-fondov/</w:t>
              </w:r>
            </w:hyperlink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Uznesenia vlády k navýšeniu administratívnych kapacít:</w:t>
            </w:r>
          </w:p>
          <w:p w:rsidR="00DF423F" w:rsidRPr="004A0ED8" w:rsidRDefault="00FF40F6" w:rsidP="00DF423F">
            <w:pPr>
              <w:rPr>
                <w:sz w:val="18"/>
                <w:szCs w:val="18"/>
              </w:rPr>
            </w:pPr>
            <w:hyperlink r:id="rId33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http://www.rokovania.sk/File.aspx/ViewDocumentHtml/Uznesenie-14744?prefixFile=u</w:t>
              </w:r>
            </w:hyperlink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Dohody o spolupráci s ÚVO a PMÚ: </w:t>
            </w:r>
          </w:p>
          <w:p w:rsidR="00DF423F" w:rsidRPr="004A0ED8" w:rsidRDefault="00FF40F6" w:rsidP="00DF423F">
            <w:pPr>
              <w:rPr>
                <w:sz w:val="18"/>
                <w:szCs w:val="18"/>
              </w:rPr>
            </w:pPr>
            <w:hyperlink r:id="rId34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http://www.crz.gov.sk/index.php?ID=1956635&amp;l=sk</w:t>
              </w:r>
            </w:hyperlink>
            <w:r w:rsidR="00DF423F" w:rsidRPr="004A0ED8">
              <w:rPr>
                <w:sz w:val="18"/>
                <w:szCs w:val="18"/>
              </w:rPr>
              <w:t xml:space="preserve">  </w:t>
            </w:r>
          </w:p>
          <w:p w:rsidR="00DF423F" w:rsidRPr="004A0ED8" w:rsidRDefault="00FF40F6" w:rsidP="00DF423F">
            <w:pPr>
              <w:rPr>
                <w:sz w:val="18"/>
                <w:szCs w:val="18"/>
              </w:rPr>
            </w:pPr>
            <w:hyperlink r:id="rId35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http://www.crz.gov.sk/index.php?ID=1963464&amp;l=sk</w:t>
              </w:r>
            </w:hyperlink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Technická asistencia pre  ÚVO:</w:t>
            </w:r>
          </w:p>
          <w:p w:rsidR="00DF423F" w:rsidRPr="004A0ED8" w:rsidRDefault="00FF40F6" w:rsidP="00DF423F">
            <w:pPr>
              <w:rPr>
                <w:sz w:val="18"/>
                <w:szCs w:val="18"/>
              </w:rPr>
            </w:pPr>
            <w:hyperlink r:id="rId36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http://www.partnerskadohoda.gov.sk/data/files/110_operacny_program_technicka_pomoc_2014_2020.pdf</w:t>
              </w:r>
            </w:hyperlink>
            <w:r w:rsidR="00DF423F" w:rsidRPr="004A0ED8">
              <w:rPr>
                <w:sz w:val="18"/>
                <w:szCs w:val="18"/>
              </w:rPr>
              <w:t xml:space="preserve">   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Technická asistencia pre PMÚ: </w:t>
            </w:r>
          </w:p>
          <w:p w:rsidR="00DF423F" w:rsidRPr="004A0ED8" w:rsidRDefault="00FF40F6" w:rsidP="00DF423F">
            <w:pPr>
              <w:rPr>
                <w:sz w:val="18"/>
                <w:szCs w:val="18"/>
              </w:rPr>
            </w:pPr>
            <w:hyperlink r:id="rId37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http://www.partnerskadohoda.gov.sk/data/files/110_operacny_program_technicka_pomoc_2014_2020.pdf</w:t>
              </w:r>
            </w:hyperlink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Metodická činnosť ÚVO:</w:t>
            </w:r>
          </w:p>
          <w:p w:rsidR="00DF423F" w:rsidRPr="004A0ED8" w:rsidRDefault="00FF40F6" w:rsidP="00DF423F">
            <w:pPr>
              <w:rPr>
                <w:sz w:val="18"/>
                <w:szCs w:val="18"/>
              </w:rPr>
            </w:pPr>
            <w:hyperlink r:id="rId38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http://www.uvo.gov.sk/legislativametodika-dohlad-2ab.html</w:t>
              </w:r>
            </w:hyperlink>
            <w:r w:rsidR="00DF423F" w:rsidRPr="004A0ED8">
              <w:rPr>
                <w:sz w:val="18"/>
                <w:szCs w:val="18"/>
              </w:rPr>
              <w:t xml:space="preserve">  </w:t>
            </w:r>
          </w:p>
          <w:p w:rsidR="00DF423F" w:rsidRPr="004A0ED8" w:rsidRDefault="00FF40F6" w:rsidP="00DF423F">
            <w:pPr>
              <w:rPr>
                <w:sz w:val="18"/>
                <w:szCs w:val="18"/>
              </w:rPr>
            </w:pPr>
            <w:hyperlink r:id="rId39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http://www.uvo.gov.sk/verejny-obstaravatel-obstaravatel/portal-systemu-evo--37d.html</w:t>
              </w:r>
            </w:hyperlink>
            <w:r w:rsidR="00DF423F" w:rsidRPr="004A0ED8">
              <w:rPr>
                <w:sz w:val="18"/>
                <w:szCs w:val="18"/>
              </w:rPr>
              <w:t xml:space="preserve"> 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Školenia ÚVO</w:t>
            </w:r>
          </w:p>
          <w:p w:rsidR="00DF423F" w:rsidRPr="004A0ED8" w:rsidRDefault="00FF40F6" w:rsidP="00DF423F">
            <w:pPr>
              <w:rPr>
                <w:sz w:val="18"/>
                <w:szCs w:val="18"/>
              </w:rPr>
            </w:pPr>
            <w:hyperlink r:id="rId40" w:history="1">
              <w:r w:rsidR="00DF423F" w:rsidRPr="004A0ED8">
                <w:rPr>
                  <w:color w:val="0000FF"/>
                  <w:sz w:val="18"/>
                  <w:szCs w:val="18"/>
                  <w:u w:val="single"/>
                </w:rPr>
                <w:t>http://www.uvo.gov.sk/informacny-servis/skolenia-uradu/skolenia-uradu-4a3.html</w:t>
              </w:r>
            </w:hyperlink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Del="00111429" w:rsidRDefault="00D24EB2" w:rsidP="00DF423F">
            <w:pPr>
              <w:rPr>
                <w:i/>
                <w:sz w:val="18"/>
                <w:szCs w:val="18"/>
              </w:rPr>
            </w:pPr>
            <w:r w:rsidRPr="004A0ED8">
              <w:rPr>
                <w:rFonts w:eastAsiaTheme="minorHAnsi"/>
                <w:b/>
                <w:sz w:val="18"/>
                <w:szCs w:val="18"/>
                <w:lang w:eastAsia="en-US"/>
              </w:rPr>
              <w:t>Splnenie EAK 4 bolo potvrdené zo strany EK dňa 9.3.2017</w:t>
            </w:r>
          </w:p>
        </w:tc>
      </w:tr>
      <w:tr w:rsidR="00DF423F" w:rsidRPr="008B6AC7" w:rsidTr="008B6AC7">
        <w:trPr>
          <w:jc w:val="center"/>
        </w:trPr>
        <w:tc>
          <w:tcPr>
            <w:tcW w:w="546" w:type="pct"/>
            <w:shd w:val="clear" w:color="auto" w:fill="FFFFFF" w:themeFill="background1"/>
          </w:tcPr>
          <w:p w:rsidR="00DF423F" w:rsidRPr="004A0ED8" w:rsidRDefault="00DF423F" w:rsidP="00DF423F">
            <w:pPr>
              <w:rPr>
                <w:b/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lastRenderedPageBreak/>
              <w:t>5. Štátna pomoc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snapToGrid w:val="0"/>
              <w:spacing w:after="200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t xml:space="preserve">Existencia pravidiel na efektívne uplatňovanie práva Únie o štátnej </w:t>
            </w:r>
            <w:r w:rsidRPr="004A0ED8">
              <w:rPr>
                <w:sz w:val="18"/>
                <w:szCs w:val="18"/>
              </w:rPr>
              <w:lastRenderedPageBreak/>
              <w:t>pomoci v oblasti EŠIF</w:t>
            </w:r>
          </w:p>
        </w:tc>
        <w:tc>
          <w:tcPr>
            <w:tcW w:w="654" w:type="pct"/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lastRenderedPageBreak/>
              <w:t>Opatrenia na zabezpečenie účinného uplatňovania pravidiel Únie o štátnej pomoci.</w:t>
            </w:r>
          </w:p>
        </w:tc>
        <w:tc>
          <w:tcPr>
            <w:tcW w:w="843" w:type="pct"/>
            <w:gridSpan w:val="2"/>
            <w:shd w:val="clear" w:color="auto" w:fill="FFFFFF" w:themeFill="background1"/>
            <w:vAlign w:val="center"/>
          </w:tcPr>
          <w:p w:rsidR="00DF423F" w:rsidRPr="004A0ED8" w:rsidRDefault="00DF423F" w:rsidP="00DF423F">
            <w:pPr>
              <w:rPr>
                <w:sz w:val="18"/>
                <w:szCs w:val="18"/>
                <w:lang w:eastAsia="cs-CZ"/>
              </w:rPr>
            </w:pPr>
            <w:r w:rsidRPr="004A0ED8">
              <w:rPr>
                <w:sz w:val="18"/>
                <w:szCs w:val="18"/>
                <w:lang w:eastAsia="cs-CZ"/>
              </w:rPr>
              <w:t>Novela zákona č. 231/1999 Z. z. o štátnej pomoci v znení neskorších predpisov s cieľom:</w:t>
            </w:r>
          </w:p>
          <w:p w:rsidR="00DF423F" w:rsidRPr="004A0ED8" w:rsidRDefault="00DF423F" w:rsidP="00DF423F">
            <w:pPr>
              <w:numPr>
                <w:ilvl w:val="0"/>
                <w:numId w:val="30"/>
              </w:numPr>
              <w:ind w:left="238" w:hanging="238"/>
              <w:contextualSpacing/>
              <w:jc w:val="both"/>
              <w:rPr>
                <w:rFonts w:eastAsiaTheme="minorEastAsia"/>
                <w:sz w:val="18"/>
                <w:szCs w:val="18"/>
                <w:lang w:eastAsia="cs-CZ"/>
              </w:rPr>
            </w:pPr>
            <w:r w:rsidRPr="004A0ED8">
              <w:rPr>
                <w:rFonts w:eastAsiaTheme="minorEastAsia"/>
                <w:sz w:val="18"/>
                <w:szCs w:val="18"/>
                <w:lang w:eastAsia="cs-CZ"/>
              </w:rPr>
              <w:t xml:space="preserve">posilnenia úlohy koordinátora štátnej pomoci tak, aby jeho stanoviská a pozície boli </w:t>
            </w:r>
            <w:r w:rsidRPr="004A0ED8">
              <w:rPr>
                <w:rFonts w:eastAsiaTheme="minorEastAsia"/>
                <w:sz w:val="18"/>
                <w:szCs w:val="18"/>
                <w:lang w:eastAsia="cs-CZ"/>
              </w:rPr>
              <w:lastRenderedPageBreak/>
              <w:t>záväzné a každý poskytovateľ štátnej pomoci pred jej poskytnutím musel predložiť koordinátorovi štátnej pomoci žiadosť o poskytnutie pomoci (na základe uznesenia vlády SR č. 156 z 9. 4. 2014 stanoviská a pozície koordinátora štátnej pomoci sú už záväzné pre všetky RO a SORO),</w:t>
            </w:r>
          </w:p>
          <w:p w:rsidR="00DF423F" w:rsidRPr="004A0ED8" w:rsidRDefault="00DF423F" w:rsidP="00DF423F">
            <w:pPr>
              <w:numPr>
                <w:ilvl w:val="0"/>
                <w:numId w:val="30"/>
              </w:numPr>
              <w:ind w:left="238" w:hanging="238"/>
              <w:contextualSpacing/>
              <w:jc w:val="both"/>
              <w:rPr>
                <w:rFonts w:eastAsiaTheme="minorEastAsia"/>
                <w:sz w:val="18"/>
                <w:szCs w:val="18"/>
                <w:lang w:eastAsia="cs-CZ"/>
              </w:rPr>
            </w:pPr>
            <w:r w:rsidRPr="004A0ED8">
              <w:rPr>
                <w:rFonts w:eastAsiaTheme="minorEastAsia"/>
                <w:sz w:val="18"/>
                <w:szCs w:val="18"/>
                <w:lang w:eastAsia="cs-CZ"/>
              </w:rPr>
              <w:t>vytvorenia právneho rámca pre zriadenie centrálneho IT registra pre štátnu pomoc, ktorý by mal zahŕňať aj individuálnu pomoc a pomoc podliehajúcu všeobecnej skupinovej výnimke,</w:t>
            </w:r>
          </w:p>
          <w:p w:rsidR="00DF423F" w:rsidRPr="004A0ED8" w:rsidRDefault="00DF423F" w:rsidP="00DF423F">
            <w:pPr>
              <w:numPr>
                <w:ilvl w:val="0"/>
                <w:numId w:val="30"/>
              </w:numPr>
              <w:ind w:left="238" w:hanging="238"/>
              <w:contextualSpacing/>
              <w:jc w:val="both"/>
              <w:rPr>
                <w:rFonts w:eastAsiaTheme="minorEastAsia"/>
                <w:sz w:val="18"/>
                <w:szCs w:val="18"/>
                <w:lang w:eastAsia="cs-CZ"/>
              </w:rPr>
            </w:pPr>
            <w:r w:rsidRPr="004A0ED8">
              <w:rPr>
                <w:rFonts w:eastAsiaTheme="minorEastAsia"/>
                <w:sz w:val="18"/>
                <w:szCs w:val="18"/>
                <w:lang w:eastAsia="cs-CZ"/>
              </w:rPr>
              <w:t>zriadenia centrálneho IT registra pre štátnu pomoc v rozsahu a v štruktúre ako ich vymedzí nové nariadenie GBER a príslušné usmernenia Európskej komisie.</w:t>
            </w:r>
          </w:p>
        </w:tc>
        <w:tc>
          <w:tcPr>
            <w:tcW w:w="356" w:type="pct"/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lastRenderedPageBreak/>
              <w:t>31.12.2015</w:t>
            </w:r>
          </w:p>
        </w:tc>
        <w:tc>
          <w:tcPr>
            <w:tcW w:w="356" w:type="pct"/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t>MF SR</w:t>
            </w:r>
          </w:p>
        </w:tc>
        <w:tc>
          <w:tcPr>
            <w:tcW w:w="267" w:type="pct"/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t>áno</w:t>
            </w:r>
          </w:p>
        </w:tc>
        <w:tc>
          <w:tcPr>
            <w:tcW w:w="222" w:type="pct"/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t>áno</w:t>
            </w:r>
          </w:p>
        </w:tc>
        <w:tc>
          <w:tcPr>
            <w:tcW w:w="288" w:type="pct"/>
            <w:shd w:val="clear" w:color="auto" w:fill="FFFFFF" w:themeFill="background1"/>
          </w:tcPr>
          <w:p w:rsidR="00DF423F" w:rsidRPr="004A0ED8" w:rsidRDefault="00DF423F" w:rsidP="00DF423F">
            <w:pPr>
              <w:snapToGrid w:val="0"/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68" w:type="pct"/>
            <w:gridSpan w:val="2"/>
            <w:shd w:val="clear" w:color="auto" w:fill="FFFFFF" w:themeFill="background1"/>
            <w:vAlign w:val="center"/>
          </w:tcPr>
          <w:p w:rsidR="00DF423F" w:rsidRPr="004A0ED8" w:rsidRDefault="00DF423F" w:rsidP="00DF423F">
            <w:pPr>
              <w:snapToGrid w:val="0"/>
              <w:spacing w:after="200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 xml:space="preserve">Nový zákon o štátnej pomoci nadobudol účinnosť 1.1.2016. Obsahuje všetky požiadavky uvedené v akčnom pláne k ex ante kondicionalite Štátna pomoc. Poskytovatelia štátnej pomoci aj minimálnej pomoci sú povinní pred poskytnutím pomoci požiadať koordinátora pomoci o stanovisko k návrhu na poskytnutie pomoci ad hoc, resp. k návrhu </w:t>
            </w:r>
            <w:r w:rsidRPr="004A0ED8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schémy pomoci, pričom stanoviská koordinátora pomoci sú pre poskytovateľov záväzné. Bol vytvorený právny rámec pre zriadenie centrálneho registra, zároveň bol zriadený centrálny register (jeho funkcie plní Informačný systém pre evidenciu a monitorovanie pomoci – IS SEMP). V zákone o štátnej pomoci sú tiež definované lehoty na zaznamenávanie poskytnutej  štátnej pomoci aj minimálnej pomoci do centrálneho registra.</w:t>
            </w:r>
          </w:p>
          <w:p w:rsidR="00DF423F" w:rsidRPr="004A0ED8" w:rsidRDefault="00FF40F6" w:rsidP="00DF423F">
            <w:pPr>
              <w:snapToGrid w:val="0"/>
              <w:spacing w:after="200"/>
              <w:rPr>
                <w:rFonts w:eastAsiaTheme="minorHAnsi"/>
                <w:sz w:val="18"/>
                <w:szCs w:val="18"/>
                <w:lang w:eastAsia="en-US"/>
              </w:rPr>
            </w:pPr>
            <w:hyperlink r:id="rId41" w:history="1">
              <w:r w:rsidR="00DF423F" w:rsidRPr="004A0ED8">
                <w:rPr>
                  <w:rFonts w:eastAsiaTheme="majorEastAsia"/>
                  <w:color w:val="0000FF"/>
                  <w:sz w:val="18"/>
                  <w:szCs w:val="18"/>
                  <w:u w:val="single"/>
                </w:rPr>
                <w:t>http://www.statnapomoc.sk/wp-content/uploads/2015/12/Zakon-c-358-2015.pdf</w:t>
              </w:r>
            </w:hyperlink>
          </w:p>
        </w:tc>
      </w:tr>
      <w:tr w:rsidR="00DF423F" w:rsidRPr="008B6AC7" w:rsidTr="008B6AC7">
        <w:trPr>
          <w:jc w:val="center"/>
        </w:trPr>
        <w:tc>
          <w:tcPr>
            <w:tcW w:w="546" w:type="pct"/>
            <w:shd w:val="clear" w:color="auto" w:fill="auto"/>
          </w:tcPr>
          <w:p w:rsidR="00DF423F" w:rsidRPr="004A0ED8" w:rsidRDefault="00DF423F" w:rsidP="00DF423F">
            <w:pPr>
              <w:spacing w:after="200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 </w:t>
            </w:r>
          </w:p>
        </w:tc>
        <w:tc>
          <w:tcPr>
            <w:tcW w:w="654" w:type="pct"/>
            <w:shd w:val="clear" w:color="auto" w:fill="auto"/>
          </w:tcPr>
          <w:p w:rsidR="00DF423F" w:rsidRPr="004A0ED8" w:rsidRDefault="00DF423F" w:rsidP="00DF423F">
            <w:pPr>
              <w:spacing w:after="200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</w:rPr>
              <w:t>Opatrenia na zabezpečenie administratívnej kapacity na vykonávanie a uplatňovanie pravidiel Únie o štátnej pomoci.</w:t>
            </w:r>
          </w:p>
        </w:tc>
        <w:tc>
          <w:tcPr>
            <w:tcW w:w="843" w:type="pct"/>
            <w:gridSpan w:val="2"/>
            <w:shd w:val="clear" w:color="auto" w:fill="auto"/>
            <w:vAlign w:val="center"/>
          </w:tcPr>
          <w:p w:rsidR="00DF423F" w:rsidRPr="004A0ED8" w:rsidRDefault="00DF423F" w:rsidP="00DF423F">
            <w:pPr>
              <w:rPr>
                <w:sz w:val="18"/>
                <w:szCs w:val="18"/>
                <w:lang w:eastAsia="cs-CZ"/>
              </w:rPr>
            </w:pPr>
            <w:r w:rsidRPr="004A0ED8">
              <w:rPr>
                <w:sz w:val="18"/>
                <w:szCs w:val="18"/>
                <w:lang w:eastAsia="cs-CZ"/>
              </w:rPr>
              <w:t>Posilnenie administratívnej kapacity koordinátora štátnej pomoci o 10 až 15 miest (100 % až 150 % navýšenie).</w:t>
            </w:r>
          </w:p>
          <w:p w:rsidR="00DF423F" w:rsidRPr="004A0ED8" w:rsidRDefault="00DF423F" w:rsidP="00DF423F">
            <w:pPr>
              <w:spacing w:after="200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sz w:val="18"/>
                <w:szCs w:val="18"/>
                <w:lang w:eastAsia="cs-CZ"/>
              </w:rPr>
              <w:t>V útvare koordinátora štátnej pomoci budú zabezpečované aj úlohy centra znalostí, ktoré poskytnú potrebné usmernenia v oblasti štátnej pomoci.</w:t>
            </w: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Pôvodný termín 31.12.2014 následne posunutý do  30.6.2016</w:t>
            </w: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MF SR, PMÚ SR</w:t>
            </w:r>
          </w:p>
        </w:tc>
        <w:tc>
          <w:tcPr>
            <w:tcW w:w="267" w:type="pct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22" w:type="pct"/>
            <w:shd w:val="clear" w:color="auto" w:fill="auto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áno</w:t>
            </w:r>
          </w:p>
        </w:tc>
        <w:tc>
          <w:tcPr>
            <w:tcW w:w="288" w:type="pct"/>
            <w:shd w:val="clear" w:color="auto" w:fill="auto"/>
          </w:tcPr>
          <w:p w:rsidR="00DF423F" w:rsidRPr="004A0ED8" w:rsidRDefault="00DF423F" w:rsidP="00DF423F">
            <w:pPr>
              <w:spacing w:after="20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DF423F" w:rsidRPr="004A0ED8" w:rsidRDefault="00DF423F" w:rsidP="00DF423F">
            <w:pPr>
              <w:spacing w:after="200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Kritérium bolo splnené k 1.6.2016 (počet zamestnancov koordinátora pomoci dosiahol 20, pričom v čase podpisu Partnerskej dohody SR na roky 2014 -2020 na odbore štátnej pomoci, ktorý plní funkcie koordinátora pomoci, pracovalo 10 zamestnancov).</w:t>
            </w:r>
          </w:p>
          <w:p w:rsidR="00DF423F" w:rsidRPr="004A0ED8" w:rsidRDefault="00DF423F" w:rsidP="00DF423F">
            <w:pPr>
              <w:spacing w:after="200"/>
              <w:rPr>
                <w:rFonts w:eastAsiaTheme="minorHAnsi"/>
                <w:sz w:val="18"/>
                <w:szCs w:val="18"/>
                <w:lang w:eastAsia="en-US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 xml:space="preserve">Ako centrum znalostí bolo v rámci odboru štátnej pomoc s účinnosťou od 1.1.2015 zriadené samostatné oddelenie informovanosti. </w:t>
            </w:r>
          </w:p>
        </w:tc>
      </w:tr>
      <w:tr w:rsidR="00DF423F" w:rsidRPr="008B6AC7" w:rsidTr="008B6AC7">
        <w:trPr>
          <w:jc w:val="center"/>
        </w:trPr>
        <w:tc>
          <w:tcPr>
            <w:tcW w:w="546" w:type="pct"/>
            <w:vMerge w:val="restart"/>
            <w:shd w:val="clear" w:color="auto" w:fill="auto"/>
          </w:tcPr>
          <w:p w:rsidR="00DF423F" w:rsidRPr="004A0ED8" w:rsidRDefault="00DF423F" w:rsidP="00DF423F">
            <w:pPr>
              <w:rPr>
                <w:b/>
                <w:sz w:val="18"/>
                <w:szCs w:val="18"/>
              </w:rPr>
            </w:pPr>
            <w:r w:rsidRPr="004A0ED8">
              <w:rPr>
                <w:b/>
                <w:sz w:val="18"/>
                <w:szCs w:val="18"/>
              </w:rPr>
              <w:t xml:space="preserve">6. EIA /SEA 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Existencia pravidiel na efektívne uplatňovanie právnych predpisov Únie v oblasti </w:t>
            </w:r>
            <w:r w:rsidRPr="004A0ED8">
              <w:rPr>
                <w:sz w:val="18"/>
                <w:szCs w:val="18"/>
              </w:rPr>
              <w:lastRenderedPageBreak/>
              <w:t>životného prostredia týkajúcich sa EIA a SEA</w:t>
            </w:r>
          </w:p>
        </w:tc>
        <w:tc>
          <w:tcPr>
            <w:tcW w:w="654" w:type="pct"/>
            <w:vMerge w:val="restar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lastRenderedPageBreak/>
              <w:t xml:space="preserve">Opatrenia na zabezpečenie účinného uplatňovania smernice Európskeho parlamentu a Rady 2011/92/EÚ ( 2 ) (EIA) a smernice Európskeho parlamentu </w:t>
            </w:r>
            <w:r w:rsidRPr="004A0ED8">
              <w:rPr>
                <w:sz w:val="18"/>
                <w:szCs w:val="18"/>
              </w:rPr>
              <w:lastRenderedPageBreak/>
              <w:t>a Rady 2001/42/ES ( 3 ) (SEA)</w:t>
            </w:r>
          </w:p>
        </w:tc>
        <w:tc>
          <w:tcPr>
            <w:tcW w:w="836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lastRenderedPageBreak/>
              <w:t>Metodické usmernenie postupu príslušných orgánov pre posudzovanie vplyvov v „prechodnom“ období (do schválenia a nadobudnutia účinnosti príslušných legislatívnych úprav)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30. 9. 2014, následne termín posunutý do 31.12.2016</w:t>
            </w: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MŽP SR v spolupráci s CKO a dotknutými orgánmi štátnej správy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</w:tc>
        <w:tc>
          <w:tcPr>
            <w:tcW w:w="267" w:type="pct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lastRenderedPageBreak/>
              <w:t>áno</w:t>
            </w:r>
          </w:p>
        </w:tc>
        <w:tc>
          <w:tcPr>
            <w:tcW w:w="222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áno</w:t>
            </w:r>
          </w:p>
        </w:tc>
        <w:tc>
          <w:tcPr>
            <w:tcW w:w="288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68" w:type="pct"/>
            <w:gridSpan w:val="2"/>
            <w:shd w:val="clear" w:color="auto" w:fill="auto"/>
            <w:vAlign w:val="center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Metodické usmernenie (písomná forma pre príslušné orgány štátnej správy v oblasti posudzovania vplyvov na životné prostredie obsahujúca správne a dôsledné využívanie výberových kritérií pre zisťovacie konanie, ako aj dôsledný postup pri odôvodnení rozhodnutí zo zisťovacieho konania, písomná forma pre povoľujúce orgány  ako sa zverejní upovedomenie o začatí povoľovacieho konania, z ktorého </w:t>
            </w:r>
            <w:r w:rsidRPr="004A0ED8">
              <w:rPr>
                <w:sz w:val="18"/>
                <w:szCs w:val="18"/>
              </w:rPr>
              <w:lastRenderedPageBreak/>
              <w:t xml:space="preserve">bude jednoznačne vyplývať právo k prístupu k úplnej žiadosti o povolenie) bolo zverejnené na stránke </w:t>
            </w:r>
            <w:r w:rsidRPr="004A0ED8">
              <w:rPr>
                <w:sz w:val="18"/>
                <w:szCs w:val="18"/>
                <w:u w:val="single"/>
              </w:rPr>
              <w:t>http://www.enviroportal.sk/sk/eia</w:t>
            </w:r>
            <w:r w:rsidRPr="004A0ED8">
              <w:rPr>
                <w:sz w:val="18"/>
                <w:szCs w:val="18"/>
              </w:rPr>
              <w:t xml:space="preserve">.  </w:t>
            </w:r>
            <w:r w:rsidRPr="004A0ED8">
              <w:rPr>
                <w:sz w:val="18"/>
                <w:szCs w:val="18"/>
              </w:rPr>
              <w:br/>
              <w:t xml:space="preserve">EK potvrdila splnenie predmetného kritéria v rámci ex ante kondicionality „EIA/SEA“, avšak následne v rámci svojho oficiálneho stanoviska (list č. Ref. Ares(2016)2593528 zo dňa </w:t>
            </w:r>
            <w:r w:rsidRPr="004A0ED8">
              <w:rPr>
                <w:sz w:val="18"/>
                <w:szCs w:val="18"/>
              </w:rPr>
              <w:br/>
              <w:t xml:space="preserve">3. 6. 2016) skonštatovala, že splnenie všeobecnej EAK č. 6 EIA/SEA nie je možné zatiaľ potvrdiť. EK v rámci predmetného stanoviska už vzala do úvahy novelizáciu zákona o posudzovaní vplyvov na životné prostredie vykonanú zákonom č. 314/2014 Z.z., ktorý nadobudol účinnosť  1. 1. 2015. Keďže aj v rámci uvedenej novely bol identifikovaný pretrvávajúci transpozičný deficit vo vzťahu k niektorým prvkom EIA smernice, EK podmienila splnenie EAK EIA/SEA vykonaním ďalších úprav legislatívy SR v oblasti posudzovania vplyvov na životné prostredie.   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Návrh novely zákona č. 24/2006 Z. z. o posudzovaní vplyvov na životné prostredie v znení ďalších zmien a doplnkov (Zákon o EIA) bol predložený na rokovanie vlády SR a schválený uznesením č. 316 zo dňa 17.8.2016. Návrh zákona bol dňa 12. 9. 2016 prerokovaný NR SR v 1. čítaní. novelu Zákona o EIA, ktorá bola dňa 9. 11. 2016 podpísaná prezidentom SR a nadobúda účinnosť od 1. 1. 2017.  </w:t>
            </w:r>
          </w:p>
        </w:tc>
      </w:tr>
      <w:tr w:rsidR="00DF423F" w:rsidRPr="008B6AC7" w:rsidTr="008B6AC7">
        <w:trPr>
          <w:gridAfter w:val="1"/>
          <w:wAfter w:w="26" w:type="pct"/>
          <w:jc w:val="center"/>
        </w:trPr>
        <w:tc>
          <w:tcPr>
            <w:tcW w:w="546" w:type="pct"/>
            <w:vMerge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Novelizácia zákona č. 24/2006 Z. z. o posudzovaní vplyvov na životné prostredie a o zmene a doplnení niektorých zákonov v znení neskorších predpisov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1. 12. 2014, následne termín posunutý do </w:t>
            </w:r>
            <w:r w:rsidRPr="004A0ED8">
              <w:rPr>
                <w:sz w:val="18"/>
                <w:szCs w:val="18"/>
              </w:rPr>
              <w:br/>
              <w:t>31. 12. 2016</w:t>
            </w: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MŽP SR</w:t>
            </w:r>
            <w:r w:rsidRPr="004A0ED8">
              <w:rPr>
                <w:sz w:val="18"/>
                <w:szCs w:val="18"/>
              </w:rPr>
              <w:br/>
              <w:t>v spolupráci s MZVaEZ SR</w:t>
            </w:r>
          </w:p>
        </w:tc>
        <w:tc>
          <w:tcPr>
            <w:tcW w:w="267" w:type="pct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áno</w:t>
            </w:r>
          </w:p>
        </w:tc>
        <w:tc>
          <w:tcPr>
            <w:tcW w:w="222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áno</w:t>
            </w:r>
          </w:p>
        </w:tc>
        <w:tc>
          <w:tcPr>
            <w:tcW w:w="288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EK potvrdila splnenie predmetného kritéria v rámci ex ante kondicionality „EIA/SEA“, avšak následne v rámci svojho oficiálneho stanoviska (list č. Ref. Ares(2016)2593528 zo dňa </w:t>
            </w:r>
            <w:r w:rsidRPr="004A0ED8">
              <w:rPr>
                <w:sz w:val="18"/>
                <w:szCs w:val="18"/>
              </w:rPr>
              <w:br/>
              <w:t xml:space="preserve">3. 6. 2016) skonštatovala, že splnenie všeobecnej EAK č. 6 EIA/SEA nie je možné zatiaľ potvrdiť. EK v rámci predmetného stanoviska už vzala do úvahy novelizáciu zákona o posudzovaní vplyvov na životné prostredie vykonanú zákonom č. 314/2014 Z.z., ktorý nadobudol účinnosť  1. 1. 2015. Keďže aj v rámci uvedenej novely bol identifikovaný pretrvávajúci transpozičný deficit vo vzťahu </w:t>
            </w:r>
            <w:r w:rsidRPr="004A0ED8">
              <w:rPr>
                <w:sz w:val="18"/>
                <w:szCs w:val="18"/>
              </w:rPr>
              <w:br/>
              <w:t xml:space="preserve">k niektorým prvkom EIA smernice do slovenskej legislatívy, EK podmienila splnenie EAK EIA/SEA vykonaním ďalších úprav legislatívy SR v oblasti posudzovania vplyvov na životné prostredie do konca roka 2016.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lastRenderedPageBreak/>
              <w:t xml:space="preserve">Stanovisko MŽP SR, v ktorom sú niektoré výhrady EK vysvetlené a </w:t>
            </w:r>
            <w:r w:rsidRPr="004A0ED8">
              <w:rPr>
                <w:sz w:val="18"/>
                <w:szCs w:val="18"/>
              </w:rPr>
              <w:br/>
              <w:t xml:space="preserve">v ktorom sa zároveň deklaruje, že niektoré výhrady EK boli zohľadnené a zapracované do návrhu novely zákona č. 24/2006 Z. z. o posudzovaní vplyvov na životné prostredie v znení ďalších zmien a doplnkov (Zákon o EIA), bolo postúpené EK 21. 7. 2016.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Návrh Zákona o EIA bol predložený na rokovanie vlády SR a schválený uznesením č. 316 zo dňa 17.8.2016. Návrh zákona bol dňa 12. 9. 2016 prerokovaný NR SR v 1. čítaní. Dňa 2. 10. 2016 bol Ministerstvom zahraničných vecí a európskych záležitostí Slovenskej republiky predložený EK dokument preukazujúci vyriešenie infringementu (prípad 2013/2034).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S cieľom informovania EK o aktuálnom stave legislatívneho procesu novely Zákona o EIA, MŽP SR dňa 16. 11. 2016 zaslalo prostredníctvom systému SFC2014 novelu Zákona o EIA, ktorá bola dňa 9. 11. 2016 podpísaná prezidentom SR a nadobúda účinnosť od </w:t>
            </w:r>
            <w:r w:rsidRPr="004A0ED8">
              <w:rPr>
                <w:sz w:val="18"/>
                <w:szCs w:val="18"/>
              </w:rPr>
              <w:br/>
              <w:t xml:space="preserve">1. 1. 2017.  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EK potvrdila splnenie predmetnej EAK listom dňa 3. 2. 2017.</w:t>
            </w:r>
          </w:p>
        </w:tc>
      </w:tr>
      <w:tr w:rsidR="00DF423F" w:rsidRPr="008B6AC7" w:rsidTr="008B6AC7">
        <w:trPr>
          <w:gridAfter w:val="1"/>
          <w:wAfter w:w="26" w:type="pct"/>
          <w:jc w:val="center"/>
        </w:trPr>
        <w:tc>
          <w:tcPr>
            <w:tcW w:w="546" w:type="pct"/>
            <w:vMerge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</w:tc>
        <w:tc>
          <w:tcPr>
            <w:tcW w:w="654" w:type="pct"/>
            <w:vMerge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Zavedenie opatrení na podporu uplatňovania smernice EIA v rámci konania o žiadostiach, v rámci opatrení týkajúcich sa preskúmania súladu predloženého projektu s predmetom posudzovania a zabezpečenie výdavkov na administratívne kapacity pre koordináciu výkonu uvedených činností 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30. 12. 2014</w:t>
            </w: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MŽP SR v spolupráci s CKO</w:t>
            </w:r>
          </w:p>
        </w:tc>
        <w:tc>
          <w:tcPr>
            <w:tcW w:w="267" w:type="pct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áno</w:t>
            </w:r>
          </w:p>
        </w:tc>
        <w:tc>
          <w:tcPr>
            <w:tcW w:w="222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áno</w:t>
            </w:r>
          </w:p>
        </w:tc>
        <w:tc>
          <w:tcPr>
            <w:tcW w:w="288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V súvislosti s potrebou zabezpečenia overenia podmienky poskytnutia príspevku „Oprávnenosť z hľadiska preukázania súladu </w:t>
            </w:r>
            <w:r w:rsidRPr="004A0ED8">
              <w:rPr>
                <w:sz w:val="18"/>
                <w:szCs w:val="18"/>
              </w:rPr>
              <w:br/>
              <w:t>s požiadavkami v oblasti posudzovania vplyvov navrhovanej činnosti na životné prostredie“  v zmysle Systému riadenia EŠIF požiadal RO pre OP KŽP CKO o doplnenie príslušných ustanovení Systému riadenia EŠIF tak, aby pri overovaní tejto podmienky riadiace orgány v prípade potreby spolupracovali s MŽP SR (vecne príslušným útvarom, do pôsobnosti ktorého spadá problematika posudzovania vplyvov na životné prostredie) ako koordinátorom EIA pre EŠIF. Uvedená pripomienka bola zo strany CKO zapracovaná 20.11.2014.</w:t>
            </w:r>
          </w:p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Úloha koordinátora EIA bola zadefinovaná v Systéme riadenia EŠIF, vo verzii 4, účinnej od 21. 9. 2016. Uznesením vlády SR č. 316/2016 k návrhu novely zákona EIA bolo zároveň schválené navýšenie počtu zamestnancov kapitoly Ministerstva životného prostredia SR o </w:t>
            </w:r>
            <w:r w:rsidRPr="004A0ED8">
              <w:rPr>
                <w:sz w:val="18"/>
                <w:szCs w:val="18"/>
              </w:rPr>
              <w:br/>
              <w:t xml:space="preserve">15 štátnozamestnaneckých miest  za účelom zabezpečenia </w:t>
            </w:r>
            <w:r w:rsidRPr="004A0ED8">
              <w:rPr>
                <w:sz w:val="18"/>
                <w:szCs w:val="18"/>
              </w:rPr>
              <w:lastRenderedPageBreak/>
              <w:t>činností koordinátora EIA v súvislosti s implementáciou EŠIF a splnenia všeobecnej EAK v oblasti EIA/SEA. Výdavky budú zabezpečené v rámci OP TP.</w:t>
            </w:r>
          </w:p>
        </w:tc>
      </w:tr>
      <w:tr w:rsidR="00DF423F" w:rsidRPr="008B6AC7" w:rsidTr="008B6AC7">
        <w:trPr>
          <w:gridAfter w:val="1"/>
          <w:wAfter w:w="26" w:type="pct"/>
          <w:jc w:val="center"/>
        </w:trPr>
        <w:tc>
          <w:tcPr>
            <w:tcW w:w="546" w:type="pct"/>
            <w:vMerge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</w:p>
        </w:tc>
        <w:tc>
          <w:tcPr>
            <w:tcW w:w="654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Opatrenia v oblasti odbornej prípravy a informovania zamestnancov zapojených do vykonávania smerníc EIA a SEA</w:t>
            </w:r>
          </w:p>
        </w:tc>
        <w:tc>
          <w:tcPr>
            <w:tcW w:w="836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Vykonanie školení reflektujúcich na príslušné legislatívne úpravy.</w:t>
            </w:r>
          </w:p>
        </w:tc>
        <w:tc>
          <w:tcPr>
            <w:tcW w:w="363" w:type="pct"/>
            <w:gridSpan w:val="2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31. 12. 2014, následne termín posunutý do </w:t>
            </w:r>
            <w:r w:rsidRPr="004A0ED8">
              <w:rPr>
                <w:sz w:val="18"/>
                <w:szCs w:val="18"/>
              </w:rPr>
              <w:br/>
              <w:t xml:space="preserve">31. 12. 2015 </w:t>
            </w:r>
          </w:p>
        </w:tc>
        <w:tc>
          <w:tcPr>
            <w:tcW w:w="356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MŽP SR</w:t>
            </w:r>
          </w:p>
        </w:tc>
        <w:tc>
          <w:tcPr>
            <w:tcW w:w="267" w:type="pct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áno</w:t>
            </w:r>
          </w:p>
        </w:tc>
        <w:tc>
          <w:tcPr>
            <w:tcW w:w="222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áno</w:t>
            </w:r>
          </w:p>
        </w:tc>
        <w:tc>
          <w:tcPr>
            <w:tcW w:w="288" w:type="pct"/>
            <w:shd w:val="clear" w:color="auto" w:fill="auto"/>
          </w:tcPr>
          <w:p w:rsidR="00DF423F" w:rsidRPr="004A0ED8" w:rsidRDefault="00DF423F" w:rsidP="00DF423F">
            <w:pPr>
              <w:jc w:val="center"/>
              <w:rPr>
                <w:sz w:val="18"/>
                <w:szCs w:val="18"/>
              </w:rPr>
            </w:pPr>
            <w:r w:rsidRPr="004A0ED8">
              <w:rPr>
                <w:rFonts w:eastAsiaTheme="minorHAnsi"/>
                <w:sz w:val="18"/>
                <w:szCs w:val="18"/>
                <w:lang w:eastAsia="en-US"/>
              </w:rPr>
              <w:t>N/A</w:t>
            </w:r>
          </w:p>
        </w:tc>
        <w:tc>
          <w:tcPr>
            <w:tcW w:w="1442" w:type="pct"/>
            <w:shd w:val="clear" w:color="auto" w:fill="auto"/>
          </w:tcPr>
          <w:p w:rsidR="00DF423F" w:rsidRPr="004A0ED8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 xml:space="preserve">Termín plnenia bol vzhľadom na účinnosť nového zákona o posudzovaní vplyvov na životné prostredie posunutý do konca roka 2015. Prostredníctvom školení vykonaných v priebehu roka 2015 bolo zabezpečené vyškolenie všetkých orgánov štátnej správy, ktoré plnia povinnosti na úseku posudzovania vplyvov na životné prostredie podľa nového zákona o posudzovaní vplyvov na životné prostredie (t.j. príslušné orgány), odborne spôsobilých osôb a zástupcov obecných úradov, ktoré v niektorých prípadoch plnia funkciu povoľujúcich orgánov. Tým bola zabezpečená odborná príprava a informovanie zamestnancov jednotlivých orgánov vykonávajúcich povinnosti v oblasti posudzovania vplyvov na životné prostredie podľa nového zákona. </w:t>
            </w:r>
          </w:p>
          <w:p w:rsidR="00DF423F" w:rsidRPr="004A0ED8" w:rsidDel="00111429" w:rsidRDefault="00DF423F" w:rsidP="00DF423F">
            <w:pPr>
              <w:rPr>
                <w:sz w:val="18"/>
                <w:szCs w:val="18"/>
              </w:rPr>
            </w:pPr>
            <w:r w:rsidRPr="004A0ED8">
              <w:rPr>
                <w:sz w:val="18"/>
                <w:szCs w:val="18"/>
              </w:rPr>
              <w:t>Ďalšie školiaci aktivity a preškoľovania sa vykonávajú priebežne naďalej.</w:t>
            </w:r>
          </w:p>
        </w:tc>
      </w:tr>
    </w:tbl>
    <w:p w:rsidR="0006692B" w:rsidRPr="003C7716" w:rsidRDefault="0006692B" w:rsidP="00542440">
      <w:pPr>
        <w:spacing w:before="120" w:after="120"/>
        <w:rPr>
          <w:rFonts w:eastAsiaTheme="minorHAnsi"/>
          <w:b/>
          <w:sz w:val="16"/>
          <w:szCs w:val="16"/>
          <w:lang w:eastAsia="en-US"/>
        </w:rPr>
      </w:pPr>
      <w:r w:rsidRPr="003C7716">
        <w:rPr>
          <w:rFonts w:eastAsiaTheme="minorHAnsi"/>
          <w:b/>
          <w:sz w:val="16"/>
          <w:szCs w:val="16"/>
          <w:lang w:eastAsia="en-US"/>
        </w:rPr>
        <w:t>Zdroj: CKO</w:t>
      </w:r>
    </w:p>
    <w:p w:rsidR="0006692B" w:rsidRDefault="0006692B" w:rsidP="00542440">
      <w:pPr>
        <w:spacing w:before="120" w:after="120"/>
        <w:rPr>
          <w:rFonts w:eastAsiaTheme="minorHAnsi"/>
          <w:b/>
          <w:lang w:eastAsia="en-US"/>
        </w:rPr>
      </w:pPr>
    </w:p>
    <w:p w:rsidR="000B78BD" w:rsidRDefault="000B78BD" w:rsidP="00542440">
      <w:pPr>
        <w:spacing w:before="120" w:after="120"/>
        <w:rPr>
          <w:rFonts w:eastAsiaTheme="minorHAnsi"/>
          <w:b/>
          <w:lang w:eastAsia="en-US"/>
        </w:rPr>
        <w:sectPr w:rsidR="000B78BD" w:rsidSect="00175ED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42440" w:rsidRPr="00B222A9" w:rsidRDefault="00542440" w:rsidP="00542440">
      <w:pPr>
        <w:spacing w:before="120" w:after="12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Tabuľka 15</w:t>
      </w:r>
      <w:r w:rsidRPr="00B222A9">
        <w:rPr>
          <w:rFonts w:eastAsiaTheme="minorHAnsi"/>
          <w:b/>
          <w:lang w:eastAsia="en-US"/>
        </w:rPr>
        <w:t xml:space="preserve">: </w:t>
      </w:r>
      <w:r>
        <w:rPr>
          <w:rFonts w:eastAsiaTheme="minorHAnsi"/>
          <w:b/>
          <w:lang w:eastAsia="en-US"/>
        </w:rPr>
        <w:t>Opatrenia prijaté</w:t>
      </w:r>
      <w:r w:rsidRPr="00B222A9">
        <w:rPr>
          <w:rFonts w:eastAsiaTheme="minorHAnsi"/>
          <w:b/>
          <w:lang w:eastAsia="en-US"/>
        </w:rPr>
        <w:t xml:space="preserve"> s cieľom splniť uplatniteľné tematické </w:t>
      </w:r>
      <w:r>
        <w:rPr>
          <w:rFonts w:eastAsiaTheme="minorHAnsi"/>
          <w:b/>
          <w:lang w:eastAsia="en-US"/>
        </w:rPr>
        <w:t>EAK</w:t>
      </w:r>
    </w:p>
    <w:p w:rsidR="000C6A09" w:rsidRDefault="000C6A09" w:rsidP="00542440">
      <w:pPr>
        <w:pStyle w:val="MPCKO3"/>
        <w:rPr>
          <w:rFonts w:eastAsiaTheme="minorHAnsi" w:cs="Times New Roman"/>
          <w:b w:val="0"/>
          <w:bCs w:val="0"/>
          <w:iCs w:val="0"/>
          <w:color w:val="auto"/>
          <w:lang w:eastAsia="en-US"/>
        </w:rPr>
      </w:pPr>
      <w:bookmarkStart w:id="41" w:name="_Toc482173561"/>
      <w:bookmarkStart w:id="42" w:name="_Toc428367971"/>
      <w:r w:rsidRPr="000C6A09">
        <w:rPr>
          <w:rFonts w:eastAsiaTheme="minorHAnsi" w:cs="Times New Roman"/>
          <w:b w:val="0"/>
          <w:bCs w:val="0"/>
          <w:iCs w:val="0"/>
          <w:color w:val="auto"/>
          <w:lang w:eastAsia="en-US"/>
        </w:rPr>
        <w:t>Požadované informácie nie sú pre OP TP relevantné.</w:t>
      </w:r>
      <w:bookmarkEnd w:id="41"/>
    </w:p>
    <w:p w:rsidR="00542440" w:rsidRPr="00AA7D81" w:rsidRDefault="00542440" w:rsidP="00542440">
      <w:pPr>
        <w:pStyle w:val="MPCKO3"/>
        <w:rPr>
          <w:rFonts w:eastAsiaTheme="minorHAnsi"/>
        </w:rPr>
      </w:pPr>
      <w:bookmarkStart w:id="43" w:name="_Toc482173562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14. </w:t>
      </w:r>
      <w:r>
        <w:rPr>
          <w:rFonts w:eastAsiaTheme="minorHAnsi"/>
        </w:rPr>
        <w:t>Ďalšie</w:t>
      </w:r>
      <w:r w:rsidRPr="00AA7D81">
        <w:rPr>
          <w:rFonts w:eastAsiaTheme="minorHAnsi"/>
        </w:rPr>
        <w:t xml:space="preserve"> informácie, ktoré sa poskytujú v závislo</w:t>
      </w:r>
      <w:r>
        <w:rPr>
          <w:rFonts w:eastAsiaTheme="minorHAnsi"/>
        </w:rPr>
        <w:t xml:space="preserve">sti </w:t>
      </w:r>
      <w:r>
        <w:rPr>
          <w:rFonts w:eastAsiaTheme="minorHAnsi"/>
        </w:rPr>
        <w:br/>
        <w:t xml:space="preserve">od obsahu a cieľov </w:t>
      </w:r>
      <w:r w:rsidRPr="00AA7D81">
        <w:rPr>
          <w:rFonts w:eastAsiaTheme="minorHAnsi"/>
        </w:rPr>
        <w:t>program</w:t>
      </w:r>
      <w:r>
        <w:rPr>
          <w:rFonts w:eastAsiaTheme="minorHAnsi"/>
        </w:rPr>
        <w:t xml:space="preserve">u na základe článku </w:t>
      </w:r>
      <w:r w:rsidRPr="00AA7D81">
        <w:rPr>
          <w:rFonts w:eastAsiaTheme="minorHAnsi"/>
        </w:rPr>
        <w:t xml:space="preserve">111 (4) </w:t>
      </w:r>
      <w:r>
        <w:rPr>
          <w:rFonts w:eastAsiaTheme="minorHAnsi"/>
        </w:rPr>
        <w:t xml:space="preserve">§2, (a), (b), (c), (d), (g) a (h) </w:t>
      </w:r>
      <w:r w:rsidRPr="00AA7D81">
        <w:rPr>
          <w:rFonts w:eastAsiaTheme="minorHAnsi"/>
        </w:rPr>
        <w:t>nariadenia</w:t>
      </w:r>
      <w:r>
        <w:rPr>
          <w:rFonts w:eastAsiaTheme="minorHAnsi"/>
        </w:rPr>
        <w:t xml:space="preserve"> </w:t>
      </w:r>
      <w:r w:rsidRPr="00AA7D81">
        <w:rPr>
          <w:rFonts w:eastAsiaTheme="minorHAnsi"/>
        </w:rPr>
        <w:t xml:space="preserve">EP a Rady (EÚ) č. 1303/2013 </w:t>
      </w:r>
      <w:r>
        <w:rPr>
          <w:rFonts w:eastAsiaTheme="minorHAnsi"/>
        </w:rPr>
        <w:t>a</w:t>
      </w:r>
      <w:bookmarkEnd w:id="42"/>
      <w:bookmarkEnd w:id="43"/>
      <w:r>
        <w:rPr>
          <w:rFonts w:eastAsiaTheme="minorHAnsi"/>
        </w:rPr>
        <w:t xml:space="preserve"> </w:t>
      </w:r>
    </w:p>
    <w:p w:rsidR="00542440" w:rsidRDefault="00542440" w:rsidP="00542440">
      <w:pPr>
        <w:pStyle w:val="MPCKO4"/>
        <w:rPr>
          <w:rFonts w:eastAsiaTheme="minorHAnsi"/>
        </w:rPr>
      </w:pPr>
      <w:bookmarkStart w:id="44" w:name="_Toc428367972"/>
      <w:bookmarkStart w:id="45" w:name="_Toc482173563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14.1  Pokrok </w:t>
      </w:r>
      <w:r>
        <w:rPr>
          <w:rFonts w:eastAsiaTheme="minorHAnsi"/>
        </w:rPr>
        <w:t xml:space="preserve">dosiahnutý pri uplatňovaní integrovaného prístupu k </w:t>
      </w:r>
      <w:r w:rsidRPr="00AA7D81">
        <w:rPr>
          <w:rFonts w:eastAsiaTheme="minorHAnsi"/>
        </w:rPr>
        <w:t>územnému rozvoju vráta</w:t>
      </w:r>
      <w:r>
        <w:rPr>
          <w:rFonts w:eastAsiaTheme="minorHAnsi"/>
        </w:rPr>
        <w:t>ne rozvoja regiónov s nepriazni</w:t>
      </w:r>
      <w:r w:rsidRPr="00AA7D81">
        <w:rPr>
          <w:rFonts w:eastAsiaTheme="minorHAnsi"/>
        </w:rPr>
        <w:t>vými demografickými podm</w:t>
      </w:r>
      <w:r>
        <w:rPr>
          <w:rFonts w:eastAsiaTheme="minorHAnsi"/>
        </w:rPr>
        <w:t>ienkami a trvalými alebo prírod</w:t>
      </w:r>
      <w:r w:rsidRPr="00AA7D81">
        <w:rPr>
          <w:rFonts w:eastAsiaTheme="minorHAnsi"/>
        </w:rPr>
        <w:t xml:space="preserve">nými znevýhodneniami, </w:t>
      </w:r>
      <w:r>
        <w:rPr>
          <w:rFonts w:eastAsiaTheme="minorHAnsi"/>
        </w:rPr>
        <w:t>UMR</w:t>
      </w:r>
      <w:r w:rsidRPr="00AA7D81">
        <w:rPr>
          <w:rFonts w:eastAsiaTheme="minorHAnsi"/>
        </w:rPr>
        <w:t xml:space="preserve"> a </w:t>
      </w:r>
      <w:r>
        <w:rPr>
          <w:rFonts w:eastAsiaTheme="minorHAnsi"/>
        </w:rPr>
        <w:t>CLLD</w:t>
      </w:r>
      <w:r w:rsidRPr="00AA7D81">
        <w:rPr>
          <w:rFonts w:eastAsiaTheme="minorHAnsi"/>
        </w:rPr>
        <w:t xml:space="preserve"> </w:t>
      </w:r>
      <w:r>
        <w:rPr>
          <w:rFonts w:eastAsiaTheme="minorHAnsi"/>
        </w:rPr>
        <w:t>podľa</w:t>
      </w:r>
      <w:r w:rsidRPr="00AA7D81">
        <w:rPr>
          <w:rFonts w:eastAsiaTheme="minorHAnsi"/>
        </w:rPr>
        <w:t xml:space="preserve"> programu</w:t>
      </w:r>
      <w:bookmarkEnd w:id="44"/>
      <w:bookmarkEnd w:id="45"/>
      <w:r w:rsidRPr="00AA7D81">
        <w:rPr>
          <w:rFonts w:eastAsiaTheme="minorHAnsi"/>
        </w:rPr>
        <w:t xml:space="preserve"> </w:t>
      </w:r>
    </w:p>
    <w:p w:rsidR="00566819" w:rsidRDefault="00566819" w:rsidP="00087513">
      <w:pPr>
        <w:rPr>
          <w:rFonts w:eastAsiaTheme="minorHAnsi"/>
        </w:rPr>
      </w:pPr>
    </w:p>
    <w:p w:rsidR="00566819" w:rsidRPr="00566819" w:rsidRDefault="00566819" w:rsidP="00087513">
      <w:pPr>
        <w:rPr>
          <w:rFonts w:eastAsiaTheme="minorHAnsi"/>
        </w:rPr>
      </w:pPr>
      <w:r w:rsidRPr="00566819">
        <w:rPr>
          <w:rFonts w:eastAsiaTheme="minorHAnsi"/>
        </w:rPr>
        <w:t>Požadované informácie nie sú pre OP TP relevantné.</w:t>
      </w:r>
    </w:p>
    <w:p w:rsidR="00542440" w:rsidRDefault="00542440" w:rsidP="00542440">
      <w:pPr>
        <w:pStyle w:val="MPCKO4"/>
        <w:rPr>
          <w:rFonts w:eastAsiaTheme="minorHAnsi"/>
        </w:rPr>
      </w:pPr>
      <w:bookmarkStart w:id="46" w:name="_Toc428367973"/>
      <w:bookmarkStart w:id="47" w:name="_Toc482173564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14.2  Pokrok pri </w:t>
      </w:r>
      <w:r>
        <w:rPr>
          <w:rFonts w:eastAsiaTheme="minorHAnsi"/>
        </w:rPr>
        <w:t>vykonávaní</w:t>
      </w:r>
      <w:r w:rsidRPr="00AA7D81">
        <w:rPr>
          <w:rFonts w:eastAsiaTheme="minorHAnsi"/>
        </w:rPr>
        <w:t xml:space="preserve"> opatrení na posilnenie kapacity orgánov  členského štátu a prijímateľov na spravovanie a využívanie fondov</w:t>
      </w:r>
      <w:bookmarkEnd w:id="46"/>
      <w:bookmarkEnd w:id="47"/>
      <w:r w:rsidRPr="00AA7D81">
        <w:rPr>
          <w:rFonts w:eastAsiaTheme="minorHAnsi"/>
        </w:rPr>
        <w:t xml:space="preserve"> </w:t>
      </w:r>
    </w:p>
    <w:p w:rsidR="000F6BEA" w:rsidRPr="000F6BEA" w:rsidRDefault="000F6BEA" w:rsidP="000F6BEA">
      <w:pPr>
        <w:spacing w:before="120" w:after="240"/>
        <w:jc w:val="both"/>
        <w:rPr>
          <w:rFonts w:eastAsiaTheme="minorHAnsi"/>
        </w:rPr>
      </w:pPr>
      <w:r w:rsidRPr="000F6BEA">
        <w:rPr>
          <w:rFonts w:eastAsiaTheme="minorHAnsi"/>
        </w:rPr>
        <w:t xml:space="preserve">Riadiaci orgán pre OP TP od schválenia operačného programu identifikoval nedostatok administratívnych kapacít v súvislosti s </w:t>
      </w:r>
      <w:r>
        <w:rPr>
          <w:rFonts w:eastAsiaTheme="minorHAnsi"/>
        </w:rPr>
        <w:t>ukončovaním implementácie OP TP 2007-2013 a začatím implementácie programového obdobia 2014-2020</w:t>
      </w:r>
      <w:r w:rsidRPr="000F6BEA">
        <w:rPr>
          <w:rFonts w:eastAsiaTheme="minorHAnsi"/>
        </w:rPr>
        <w:t>.</w:t>
      </w:r>
    </w:p>
    <w:p w:rsidR="00445D43" w:rsidRDefault="00445D43" w:rsidP="000F6BEA">
      <w:pPr>
        <w:spacing w:before="120" w:after="240"/>
        <w:jc w:val="both"/>
        <w:rPr>
          <w:rFonts w:eastAsiaTheme="minorHAnsi"/>
        </w:rPr>
      </w:pPr>
      <w:r w:rsidRPr="00445D43">
        <w:rPr>
          <w:rFonts w:eastAsiaTheme="minorHAnsi"/>
        </w:rPr>
        <w:t>RO OP TP v rámci roka 2016 identifikoval nedostatok AK odboru riadenia OP TP, ktorého obsadenosť bola</w:t>
      </w:r>
      <w:r w:rsidR="00C6548C" w:rsidRPr="00C6548C">
        <w:t xml:space="preserve"> </w:t>
      </w:r>
      <w:r w:rsidR="00C6548C" w:rsidRPr="00C6548C">
        <w:rPr>
          <w:rFonts w:eastAsiaTheme="minorHAnsi"/>
        </w:rPr>
        <w:t xml:space="preserve">ku koncu roka 2016 </w:t>
      </w:r>
      <w:r w:rsidRPr="00445D43">
        <w:rPr>
          <w:rFonts w:eastAsiaTheme="minorHAnsi"/>
        </w:rPr>
        <w:t xml:space="preserve"> na úrovni 60 %</w:t>
      </w:r>
      <w:r w:rsidR="00C6548C">
        <w:rPr>
          <w:rFonts w:eastAsiaTheme="minorHAnsi"/>
        </w:rPr>
        <w:t xml:space="preserve">, </w:t>
      </w:r>
      <w:r w:rsidR="00C6548C" w:rsidRPr="00C6548C">
        <w:rPr>
          <w:rFonts w:eastAsiaTheme="minorHAnsi"/>
        </w:rPr>
        <w:t>odbor implementácie projektov mal obsadenosť 75%</w:t>
      </w:r>
      <w:r w:rsidRPr="00445D43">
        <w:rPr>
          <w:rFonts w:eastAsiaTheme="minorHAnsi"/>
        </w:rPr>
        <w:t xml:space="preserve">. </w:t>
      </w:r>
      <w:r w:rsidR="00B006A1">
        <w:rPr>
          <w:rFonts w:eastAsiaTheme="minorHAnsi"/>
        </w:rPr>
        <w:t xml:space="preserve">V roku 2016 RO OP TP v rámci opatrení pre posilnenie kapacity prijal 1 zamestnanca do trvalého pracovného pomeru a zároveň vytvoril jednu pracovnú pozíciu, ktorá bola do konca roka 2016 neobsadená. </w:t>
      </w:r>
      <w:r w:rsidRPr="00445D43">
        <w:rPr>
          <w:rFonts w:eastAsiaTheme="minorHAnsi"/>
        </w:rPr>
        <w:t>Aj vzhľadom na pokročilú implementáciu programového obdobia a s tým spojenú zvýšenú administratívnu náročnosť RO OP TP sa intenzívne snaží obsadiť voľné pracovné miesta. RO OP TP predpokladá 100 % naplnenie stavu AK koncom roka 2017. Významným problémom v rámci AK EŠIF, nie len OP TP, je absencia voľných kvalifikovaných AK, ktoré by sa hneď od nástupu na príslušnú pracovnú pozíciu aktívne a v dostatočnej odbornej miere zapojili do procesu riadenia, resp.  implementácie konkrétneho programu. V tomto prípade urýchľuje proces adaptácie už implementovaný Centrálny systém vzdelávania AK EŠIF (ďalej aj „CSV AK EŠIF“), ktorý v značnej miere napomáha zlepšovať podmienky pre RO v pozícií zamestnávateľov, tak aj pre samotné AK.</w:t>
      </w:r>
      <w:r>
        <w:rPr>
          <w:rFonts w:eastAsiaTheme="minorHAnsi"/>
        </w:rPr>
        <w:t xml:space="preserve"> </w:t>
      </w:r>
    </w:p>
    <w:p w:rsidR="00F038C9" w:rsidRDefault="00B17FAC" w:rsidP="000F6BEA">
      <w:pPr>
        <w:spacing w:before="120" w:after="240"/>
        <w:jc w:val="both"/>
        <w:rPr>
          <w:rFonts w:eastAsiaTheme="minorHAnsi"/>
        </w:rPr>
      </w:pPr>
      <w:r>
        <w:rPr>
          <w:rFonts w:eastAsiaTheme="minorHAnsi"/>
        </w:rPr>
        <w:t xml:space="preserve">RO OP TP pravidelne informuje prijímateľov a žiadateľov o NFP prostredníctvom webového sídla </w:t>
      </w:r>
      <w:hyperlink r:id="rId42" w:history="1">
        <w:r w:rsidR="00C6548C" w:rsidRPr="00C6548C">
          <w:rPr>
            <w:rStyle w:val="Hypertextovprepojenie"/>
            <w:rFonts w:eastAsiaTheme="minorHAnsi"/>
          </w:rPr>
          <w:t>http://www.optp.vlada.gov.sk</w:t>
        </w:r>
      </w:hyperlink>
      <w:r w:rsidR="00C6548C">
        <w:rPr>
          <w:rFonts w:eastAsiaTheme="minorHAnsi"/>
        </w:rPr>
        <w:t xml:space="preserve">, </w:t>
      </w:r>
      <w:r>
        <w:rPr>
          <w:rFonts w:eastAsiaTheme="minorHAnsi"/>
        </w:rPr>
        <w:t xml:space="preserve">kde o. i.  zverejňuje všetky potrebné informácie, slúžiace k zlepšeniu informovanosti a dostupnosti OP TP. </w:t>
      </w:r>
    </w:p>
    <w:p w:rsidR="00542440" w:rsidRDefault="00B17FAC" w:rsidP="000F6BEA">
      <w:pPr>
        <w:spacing w:before="120" w:after="240"/>
        <w:jc w:val="both"/>
        <w:rPr>
          <w:rFonts w:eastAsiaTheme="minorHAnsi"/>
        </w:rPr>
      </w:pPr>
      <w:r>
        <w:rPr>
          <w:rFonts w:eastAsiaTheme="minorHAnsi"/>
        </w:rPr>
        <w:t>Vzhľadom na administratívnu náročnosť pri vypracovávaní</w:t>
      </w:r>
      <w:r w:rsidR="00F038C9">
        <w:rPr>
          <w:rFonts w:eastAsiaTheme="minorHAnsi"/>
        </w:rPr>
        <w:t xml:space="preserve"> ŽoNFP poskytuje RO OP TP žiadateľom priame a adekvátne poradenstvo, pre potreby predchádzania spomalenia implementačného procesu OP a pre zefektívnenie správneho predkladania finálnych verzií ŽoNFP prostredníctvom ITMS2014+ na RO</w:t>
      </w:r>
      <w:r w:rsidR="00445D43">
        <w:rPr>
          <w:rFonts w:eastAsiaTheme="minorHAnsi"/>
        </w:rPr>
        <w:t xml:space="preserve"> OP TP</w:t>
      </w:r>
      <w:r w:rsidR="00F038C9">
        <w:rPr>
          <w:rFonts w:eastAsiaTheme="minorHAnsi"/>
        </w:rPr>
        <w:t>. Uvedený krok bol pozitívne prijatý, ako zo strany žiadateľov, tak aj zo strany projektových manažérov. Nakoľko systém ITMS2014+ nie je plne vyvinutý a priebežne sa doňho implementujú nové aplikačné prostredia</w:t>
      </w:r>
      <w:r w:rsidR="000B78BD">
        <w:rPr>
          <w:rFonts w:eastAsiaTheme="minorHAnsi"/>
        </w:rPr>
        <w:t>,</w:t>
      </w:r>
      <w:r w:rsidR="00F038C9">
        <w:rPr>
          <w:rFonts w:eastAsiaTheme="minorHAnsi"/>
        </w:rPr>
        <w:t xml:space="preserve"> je potrebné, hlavne zo strany RO OP TP</w:t>
      </w:r>
      <w:r w:rsidR="000B78BD">
        <w:rPr>
          <w:rFonts w:eastAsiaTheme="minorHAnsi"/>
        </w:rPr>
        <w:t>,</w:t>
      </w:r>
      <w:r w:rsidR="00F038C9">
        <w:rPr>
          <w:rFonts w:eastAsiaTheme="minorHAnsi"/>
        </w:rPr>
        <w:t xml:space="preserve"> reagovať na prípadné zmeny, nielen vo forme informovania žiadateľov, ale aj vo forme aktualizácie príslušnej riadiacej dokumentácie. </w:t>
      </w:r>
    </w:p>
    <w:p w:rsidR="00B17FAC" w:rsidRDefault="000B78BD" w:rsidP="000F6BEA">
      <w:pPr>
        <w:spacing w:before="120" w:after="240"/>
        <w:jc w:val="both"/>
        <w:rPr>
          <w:rFonts w:eastAsiaTheme="minorHAnsi"/>
        </w:rPr>
      </w:pPr>
      <w:r>
        <w:rPr>
          <w:rFonts w:eastAsiaTheme="minorHAnsi"/>
        </w:rPr>
        <w:t>Znižovanie administratívnej náročnosti</w:t>
      </w:r>
      <w:r w:rsidR="00F038C9">
        <w:rPr>
          <w:rFonts w:eastAsiaTheme="minorHAnsi"/>
        </w:rPr>
        <w:t xml:space="preserve"> RO OP TP</w:t>
      </w:r>
      <w:r w:rsidR="00347C82">
        <w:rPr>
          <w:rFonts w:eastAsiaTheme="minorHAnsi"/>
        </w:rPr>
        <w:t xml:space="preserve"> v spolupráci s ostatnými zodpovednými orgánmi</w:t>
      </w:r>
      <w:r w:rsidR="00F038C9">
        <w:rPr>
          <w:rFonts w:eastAsiaTheme="minorHAnsi"/>
        </w:rPr>
        <w:t xml:space="preserve"> </w:t>
      </w:r>
      <w:r w:rsidR="00C6548C">
        <w:rPr>
          <w:rFonts w:eastAsiaTheme="minorHAnsi"/>
        </w:rPr>
        <w:t xml:space="preserve">presadzuje </w:t>
      </w:r>
      <w:r w:rsidR="00F038C9">
        <w:rPr>
          <w:rFonts w:eastAsiaTheme="minorHAnsi"/>
        </w:rPr>
        <w:t>najmä vo forme uplatnenia zákona č. 305/2013</w:t>
      </w:r>
      <w:r w:rsidR="00347C82">
        <w:rPr>
          <w:rFonts w:eastAsiaTheme="minorHAnsi"/>
        </w:rPr>
        <w:t xml:space="preserve"> </w:t>
      </w:r>
      <w:r w:rsidR="00347C82" w:rsidRPr="00347C82">
        <w:rPr>
          <w:rFonts w:eastAsiaTheme="minorHAnsi"/>
        </w:rPr>
        <w:t>Z. z. o elektronickej podobe výkonu pôsobnosti orgánov verejnej moci,</w:t>
      </w:r>
      <w:r w:rsidR="00347C82">
        <w:rPr>
          <w:rFonts w:eastAsiaTheme="minorHAnsi"/>
        </w:rPr>
        <w:t xml:space="preserve"> prostredníctvom ktorého </w:t>
      </w:r>
      <w:r w:rsidR="00C6548C">
        <w:rPr>
          <w:rFonts w:eastAsiaTheme="minorHAnsi"/>
        </w:rPr>
        <w:t xml:space="preserve">je </w:t>
      </w:r>
      <w:r w:rsidR="00347C82">
        <w:rPr>
          <w:rFonts w:eastAsiaTheme="minorHAnsi"/>
        </w:rPr>
        <w:t xml:space="preserve">žiadateľom </w:t>
      </w:r>
      <w:r w:rsidR="00347C82">
        <w:rPr>
          <w:rFonts w:eastAsiaTheme="minorHAnsi"/>
        </w:rPr>
        <w:lastRenderedPageBreak/>
        <w:t>a prijímateľom umožnené zasielať dokumenty elektronickou formou</w:t>
      </w:r>
      <w:r w:rsidR="00C6548C" w:rsidRPr="00C6548C">
        <w:t xml:space="preserve"> </w:t>
      </w:r>
      <w:r w:rsidR="00C6548C" w:rsidRPr="00C6548C">
        <w:rPr>
          <w:rFonts w:eastAsiaTheme="minorHAnsi"/>
        </w:rPr>
        <w:t>prostredníctvom ústredného portálu verejnej správy</w:t>
      </w:r>
      <w:r w:rsidR="00347C82">
        <w:rPr>
          <w:rFonts w:eastAsiaTheme="minorHAnsi"/>
        </w:rPr>
        <w:t>, a</w:t>
      </w:r>
      <w:r>
        <w:rPr>
          <w:rFonts w:eastAsiaTheme="minorHAnsi"/>
        </w:rPr>
        <w:t> </w:t>
      </w:r>
      <w:r w:rsidR="00347C82">
        <w:rPr>
          <w:rFonts w:eastAsiaTheme="minorHAnsi"/>
        </w:rPr>
        <w:t>tým</w:t>
      </w:r>
      <w:r>
        <w:rPr>
          <w:rFonts w:eastAsiaTheme="minorHAnsi"/>
        </w:rPr>
        <w:t xml:space="preserve"> zároveň</w:t>
      </w:r>
      <w:r w:rsidR="00347C82">
        <w:rPr>
          <w:rFonts w:eastAsiaTheme="minorHAnsi"/>
        </w:rPr>
        <w:t xml:space="preserve"> zmierniť administratívnu náročnosť.</w:t>
      </w:r>
    </w:p>
    <w:p w:rsidR="00542440" w:rsidRDefault="00542440" w:rsidP="00542440">
      <w:pPr>
        <w:pStyle w:val="MPCKO4"/>
        <w:rPr>
          <w:rFonts w:eastAsiaTheme="minorHAnsi"/>
        </w:rPr>
      </w:pPr>
      <w:bookmarkStart w:id="48" w:name="_Toc428367974"/>
      <w:bookmarkStart w:id="49" w:name="_Toc482173565"/>
      <w:r>
        <w:rPr>
          <w:rFonts w:eastAsiaTheme="minorHAnsi"/>
        </w:rPr>
        <w:t xml:space="preserve">I.14.3 </w:t>
      </w:r>
      <w:r>
        <w:rPr>
          <w:rFonts w:eastAsiaTheme="minorHAnsi"/>
        </w:rPr>
        <w:tab/>
        <w:t>Pokrok dosiahnutý</w:t>
      </w:r>
      <w:r w:rsidRPr="00AA7D81">
        <w:rPr>
          <w:rFonts w:eastAsiaTheme="minorHAnsi"/>
        </w:rPr>
        <w:t xml:space="preserve"> pri </w:t>
      </w:r>
      <w:r>
        <w:rPr>
          <w:rFonts w:eastAsiaTheme="minorHAnsi"/>
        </w:rPr>
        <w:t>vykonávaní</w:t>
      </w:r>
      <w:r w:rsidRPr="00AA7D81">
        <w:rPr>
          <w:rFonts w:eastAsiaTheme="minorHAnsi"/>
        </w:rPr>
        <w:t xml:space="preserve"> všetkých medziregionálnych a nadnárodných opatrení</w:t>
      </w:r>
      <w:bookmarkEnd w:id="48"/>
      <w:bookmarkEnd w:id="49"/>
      <w:r w:rsidRPr="00AA7D81">
        <w:rPr>
          <w:rFonts w:eastAsiaTheme="minorHAnsi"/>
        </w:rPr>
        <w:t xml:space="preserve"> </w:t>
      </w:r>
    </w:p>
    <w:p w:rsidR="00566819" w:rsidRDefault="00566819" w:rsidP="00087513">
      <w:pPr>
        <w:rPr>
          <w:rFonts w:eastAsiaTheme="minorHAnsi"/>
        </w:rPr>
      </w:pPr>
      <w:bookmarkStart w:id="50" w:name="_Toc428367975"/>
    </w:p>
    <w:p w:rsidR="00566819" w:rsidRDefault="00566819" w:rsidP="00087513">
      <w:pPr>
        <w:rPr>
          <w:rFonts w:eastAsiaTheme="minorHAnsi"/>
        </w:rPr>
      </w:pPr>
      <w:r w:rsidRPr="00566819">
        <w:rPr>
          <w:rFonts w:eastAsiaTheme="minorHAnsi"/>
        </w:rPr>
        <w:t>Požadované informácie nie sú pre OP TP relevantné.</w:t>
      </w:r>
    </w:p>
    <w:p w:rsidR="00542440" w:rsidRDefault="00542440" w:rsidP="00542440">
      <w:pPr>
        <w:pStyle w:val="MPCKO4"/>
        <w:rPr>
          <w:rFonts w:eastAsiaTheme="minorHAnsi"/>
        </w:rPr>
      </w:pPr>
      <w:bookmarkStart w:id="51" w:name="_Toc482173566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14.4 </w:t>
      </w:r>
      <w:r w:rsidRPr="00AA7D81">
        <w:rPr>
          <w:rFonts w:eastAsiaTheme="minorHAnsi"/>
        </w:rPr>
        <w:tab/>
        <w:t>Príspevok k</w:t>
      </w:r>
      <w:r>
        <w:rPr>
          <w:rFonts w:eastAsiaTheme="minorHAnsi"/>
        </w:rPr>
        <w:t xml:space="preserve"> makroregionálnym </w:t>
      </w:r>
      <w:r w:rsidRPr="00AA7D81">
        <w:rPr>
          <w:rFonts w:eastAsiaTheme="minorHAnsi"/>
        </w:rPr>
        <w:t>stratégiám a stratégiám pre prímorské oblasti</w:t>
      </w:r>
      <w:bookmarkEnd w:id="50"/>
      <w:bookmarkEnd w:id="51"/>
      <w:r w:rsidRPr="00AA7D81">
        <w:rPr>
          <w:rFonts w:eastAsiaTheme="minorHAnsi"/>
        </w:rPr>
        <w:t xml:space="preserve"> </w:t>
      </w:r>
    </w:p>
    <w:p w:rsidR="00566819" w:rsidRDefault="00566819" w:rsidP="00087513">
      <w:pPr>
        <w:rPr>
          <w:rFonts w:eastAsiaTheme="minorHAnsi"/>
        </w:rPr>
      </w:pPr>
    </w:p>
    <w:p w:rsidR="00566819" w:rsidRPr="00566819" w:rsidRDefault="00566819" w:rsidP="00087513">
      <w:pPr>
        <w:rPr>
          <w:rFonts w:eastAsiaTheme="minorHAnsi"/>
        </w:rPr>
      </w:pPr>
      <w:r w:rsidRPr="00566819">
        <w:rPr>
          <w:rFonts w:eastAsiaTheme="minorHAnsi"/>
        </w:rPr>
        <w:t>Požadované informácie nie sú pre OP TP relevantné.</w:t>
      </w:r>
    </w:p>
    <w:p w:rsidR="00542440" w:rsidRDefault="00542440" w:rsidP="00542440">
      <w:pPr>
        <w:pStyle w:val="MPCKO4"/>
        <w:rPr>
          <w:rFonts w:eastAsiaTheme="minorHAnsi"/>
        </w:rPr>
      </w:pPr>
      <w:bookmarkStart w:id="52" w:name="_Toc428367976"/>
      <w:bookmarkStart w:id="53" w:name="_Toc482173567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14.5 </w:t>
      </w:r>
      <w:r w:rsidRPr="00AA7D81">
        <w:rPr>
          <w:rFonts w:eastAsiaTheme="minorHAnsi"/>
        </w:rPr>
        <w:tab/>
        <w:t>Pokrok pri vykonávaní opatrení v oblasti sociálnej inovácie</w:t>
      </w:r>
      <w:bookmarkEnd w:id="52"/>
      <w:bookmarkEnd w:id="53"/>
      <w:r w:rsidRPr="00AA7D81">
        <w:rPr>
          <w:rFonts w:eastAsiaTheme="minorHAnsi"/>
        </w:rPr>
        <w:t xml:space="preserve"> </w:t>
      </w:r>
    </w:p>
    <w:p w:rsidR="00566819" w:rsidRDefault="00566819" w:rsidP="00087513">
      <w:pPr>
        <w:rPr>
          <w:rFonts w:eastAsiaTheme="minorHAnsi"/>
        </w:rPr>
      </w:pPr>
      <w:bookmarkStart w:id="54" w:name="_Toc428367977"/>
    </w:p>
    <w:p w:rsidR="00566819" w:rsidRDefault="00566819" w:rsidP="00087513">
      <w:pPr>
        <w:rPr>
          <w:rFonts w:eastAsiaTheme="minorHAnsi"/>
        </w:rPr>
      </w:pPr>
      <w:r w:rsidRPr="00566819">
        <w:rPr>
          <w:rFonts w:eastAsiaTheme="minorHAnsi"/>
        </w:rPr>
        <w:t>Požadované informácie nie sú pre OP TP relevantné.</w:t>
      </w:r>
    </w:p>
    <w:p w:rsidR="00542440" w:rsidRPr="007E5086" w:rsidRDefault="00542440" w:rsidP="00542440">
      <w:pPr>
        <w:pStyle w:val="MPCKO4"/>
        <w:rPr>
          <w:rFonts w:eastAsiaTheme="minorHAnsi"/>
        </w:rPr>
      </w:pPr>
      <w:bookmarkStart w:id="55" w:name="_Toc482173568"/>
      <w:r>
        <w:rPr>
          <w:rFonts w:eastAsiaTheme="minorHAnsi"/>
        </w:rPr>
        <w:t>I.</w:t>
      </w:r>
      <w:r w:rsidRPr="00AA7D81">
        <w:rPr>
          <w:rFonts w:eastAsiaTheme="minorHAnsi"/>
        </w:rPr>
        <w:t xml:space="preserve">14.6 </w:t>
      </w:r>
      <w:r w:rsidRPr="00AA7D81">
        <w:rPr>
          <w:rFonts w:eastAsiaTheme="minorHAnsi"/>
        </w:rPr>
        <w:tab/>
        <w:t xml:space="preserve">Pokrok dosiahnutý pri </w:t>
      </w:r>
      <w:r>
        <w:rPr>
          <w:rFonts w:eastAsiaTheme="minorHAnsi"/>
        </w:rPr>
        <w:t>vykonávaní</w:t>
      </w:r>
      <w:r w:rsidRPr="00AA7D81">
        <w:rPr>
          <w:rFonts w:eastAsiaTheme="minorHAnsi"/>
        </w:rPr>
        <w:t xml:space="preserve"> opatrení na riešenie </w:t>
      </w:r>
      <w:r>
        <w:rPr>
          <w:rFonts w:eastAsiaTheme="minorHAnsi"/>
        </w:rPr>
        <w:t>špecifických</w:t>
      </w:r>
      <w:r w:rsidRPr="00AA7D81">
        <w:rPr>
          <w:rFonts w:eastAsiaTheme="minorHAnsi"/>
        </w:rPr>
        <w:t xml:space="preserve"> potrieb geografických oblastí najviac postihnutých chudobou alebo potrieb cieľových skupín, ktorým najviac hrozí chudoba, diskriminácia alebo sociálne vylúčenie, s osobitným dôrazom na marginalizované komunity a osoby so zdravotným postihnutím, dlhodob</w:t>
      </w:r>
      <w:r>
        <w:rPr>
          <w:rFonts w:eastAsiaTheme="minorHAnsi"/>
        </w:rPr>
        <w:t>ú</w:t>
      </w:r>
      <w:r w:rsidRPr="00AA7D81">
        <w:rPr>
          <w:rFonts w:eastAsiaTheme="minorHAnsi"/>
        </w:rPr>
        <w:t xml:space="preserve"> nezamestn</w:t>
      </w:r>
      <w:r>
        <w:rPr>
          <w:rFonts w:eastAsiaTheme="minorHAnsi"/>
        </w:rPr>
        <w:t>anosť</w:t>
      </w:r>
      <w:r w:rsidRPr="00AA7D81">
        <w:rPr>
          <w:rFonts w:eastAsiaTheme="minorHAnsi"/>
        </w:rPr>
        <w:t xml:space="preserve"> a</w:t>
      </w:r>
      <w:r>
        <w:rPr>
          <w:rFonts w:eastAsiaTheme="minorHAnsi"/>
        </w:rPr>
        <w:t xml:space="preserve"> nezamestnanosť </w:t>
      </w:r>
      <w:r w:rsidRPr="00AA7D81">
        <w:rPr>
          <w:rFonts w:eastAsiaTheme="minorHAnsi"/>
        </w:rPr>
        <w:t xml:space="preserve">mladých ľudí, </w:t>
      </w:r>
      <w:r>
        <w:rPr>
          <w:rFonts w:eastAsiaTheme="minorHAnsi"/>
        </w:rPr>
        <w:t>prípadne vrátene</w:t>
      </w:r>
      <w:r w:rsidRPr="007E5086">
        <w:rPr>
          <w:rFonts w:eastAsiaTheme="minorHAnsi"/>
        </w:rPr>
        <w:t xml:space="preserve"> </w:t>
      </w:r>
      <w:r>
        <w:rPr>
          <w:rFonts w:eastAsiaTheme="minorHAnsi"/>
        </w:rPr>
        <w:t>použitých</w:t>
      </w:r>
      <w:r w:rsidRPr="007E5086">
        <w:rPr>
          <w:rFonts w:eastAsiaTheme="minorHAnsi"/>
        </w:rPr>
        <w:t xml:space="preserve"> finančných prostriedkov</w:t>
      </w:r>
      <w:bookmarkEnd w:id="54"/>
      <w:bookmarkEnd w:id="55"/>
      <w:r w:rsidRPr="007E5086">
        <w:rPr>
          <w:rFonts w:eastAsiaTheme="minorHAnsi"/>
        </w:rPr>
        <w:t xml:space="preserve"> </w:t>
      </w:r>
    </w:p>
    <w:p w:rsidR="00542440" w:rsidRDefault="00542440" w:rsidP="00BF057D">
      <w:pPr>
        <w:rPr>
          <w:rFonts w:eastAsiaTheme="minorHAnsi"/>
          <w:sz w:val="20"/>
          <w:szCs w:val="20"/>
        </w:rPr>
      </w:pPr>
    </w:p>
    <w:p w:rsidR="00566819" w:rsidRPr="00087513" w:rsidRDefault="00566819" w:rsidP="00BF057D">
      <w:pPr>
        <w:rPr>
          <w:rFonts w:eastAsiaTheme="minorHAnsi"/>
        </w:rPr>
        <w:sectPr w:rsidR="00566819" w:rsidRPr="00087513" w:rsidSect="00087513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087513">
        <w:rPr>
          <w:rFonts w:eastAsiaTheme="minorHAnsi"/>
        </w:rPr>
        <w:t>Požadované informácie nie sú pre OP TP relevantné.</w:t>
      </w:r>
    </w:p>
    <w:p w:rsidR="007B58ED" w:rsidRPr="008672C3" w:rsidRDefault="007B58ED" w:rsidP="007B58ED">
      <w:pPr>
        <w:pStyle w:val="MPCKO1"/>
        <w:rPr>
          <w:rFonts w:eastAsiaTheme="minorHAnsi"/>
        </w:rPr>
      </w:pPr>
      <w:bookmarkStart w:id="56" w:name="_Toc482173569"/>
      <w:r w:rsidRPr="008672C3">
        <w:rPr>
          <w:rFonts w:eastAsiaTheme="minorHAnsi"/>
        </w:rPr>
        <w:lastRenderedPageBreak/>
        <w:t>Zoznam príloh</w:t>
      </w:r>
      <w:bookmarkEnd w:id="56"/>
    </w:p>
    <w:p w:rsidR="007B58ED" w:rsidRDefault="007B58ED" w:rsidP="00A552BF">
      <w:pPr>
        <w:numPr>
          <w:ilvl w:val="0"/>
          <w:numId w:val="4"/>
        </w:numPr>
        <w:spacing w:after="200" w:line="276" w:lineRule="auto"/>
        <w:contextualSpacing/>
        <w:jc w:val="both"/>
      </w:pPr>
      <w:r>
        <w:t>Zhrnutie pre občanov</w:t>
      </w:r>
    </w:p>
    <w:p w:rsidR="007B58ED" w:rsidRPr="00826112" w:rsidRDefault="007B58ED" w:rsidP="007B58ED">
      <w:pPr>
        <w:ind w:left="426"/>
        <w:contextualSpacing/>
        <w:jc w:val="both"/>
      </w:pPr>
    </w:p>
    <w:p w:rsidR="001E42CA" w:rsidRPr="008672C3" w:rsidRDefault="001E42CA" w:rsidP="00E43DF2">
      <w:pPr>
        <w:pStyle w:val="MPCKO2"/>
        <w:spacing w:before="0"/>
      </w:pPr>
      <w:bookmarkStart w:id="57" w:name="_Toc482173570"/>
      <w:r w:rsidRPr="008672C3">
        <w:t>Zoznam použitých skratiek</w:t>
      </w:r>
      <w:bookmarkEnd w:id="57"/>
    </w:p>
    <w:p w:rsidR="001E42CA" w:rsidRPr="00826112" w:rsidRDefault="001E42CA" w:rsidP="001E42CA"/>
    <w:tbl>
      <w:tblPr>
        <w:tblStyle w:val="Deloittetable31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7098"/>
      </w:tblGrid>
      <w:tr w:rsidR="001A78CF" w:rsidRPr="006E2988" w:rsidTr="00111A92">
        <w:tc>
          <w:tcPr>
            <w:tcW w:w="1087" w:type="pct"/>
          </w:tcPr>
          <w:p w:rsidR="001A78CF" w:rsidRDefault="001A78CF" w:rsidP="00111A92">
            <w:r>
              <w:t>AK</w:t>
            </w:r>
          </w:p>
          <w:p w:rsidR="001A78CF" w:rsidRDefault="001A78CF" w:rsidP="00111A92">
            <w:r w:rsidRPr="006E2988">
              <w:t>CKO</w:t>
            </w:r>
          </w:p>
          <w:p w:rsidR="001A78CF" w:rsidRDefault="001A78CF" w:rsidP="00111A92">
            <w:r>
              <w:t>CO</w:t>
            </w:r>
          </w:p>
          <w:p w:rsidR="001A78CF" w:rsidRDefault="001A78CF" w:rsidP="00111A92">
            <w:r>
              <w:t>CSV</w:t>
            </w:r>
            <w:r w:rsidRPr="00FD7B91">
              <w:t xml:space="preserve"> AK EŠIF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>
              <w:t>EDA</w:t>
            </w:r>
          </w:p>
        </w:tc>
        <w:tc>
          <w:tcPr>
            <w:tcW w:w="3913" w:type="pct"/>
          </w:tcPr>
          <w:p w:rsidR="001A78CF" w:rsidRDefault="001A78CF" w:rsidP="00111A92">
            <w:r>
              <w:t>Administratívne kapacity</w:t>
            </w:r>
          </w:p>
          <w:p w:rsidR="001A78CF" w:rsidRDefault="001A78CF" w:rsidP="00111A92">
            <w:r w:rsidRPr="006E2988">
              <w:t xml:space="preserve">Centrálny koordinačný </w:t>
            </w:r>
            <w:r>
              <w:t>organ</w:t>
            </w:r>
          </w:p>
          <w:p w:rsidR="001A78CF" w:rsidRDefault="001A78CF" w:rsidP="00111A92">
            <w:r>
              <w:t>Certifikačný organ</w:t>
            </w:r>
          </w:p>
          <w:p w:rsidR="001A78CF" w:rsidRDefault="001A78CF" w:rsidP="00111A92">
            <w:r>
              <w:t>Centrálny systém vzdelávania administratívnych kapacít</w:t>
            </w:r>
            <w:r w:rsidRPr="00FD7B91">
              <w:t xml:space="preserve"> EŠIF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>
              <w:t>Európsky dvor  audítorov</w:t>
            </w:r>
          </w:p>
        </w:tc>
      </w:tr>
      <w:tr w:rsidR="001A78CF" w:rsidRPr="006E2988" w:rsidTr="00111A92">
        <w:tc>
          <w:tcPr>
            <w:tcW w:w="1087" w:type="pct"/>
            <w:hideMark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EFRR</w:t>
            </w:r>
          </w:p>
        </w:tc>
        <w:tc>
          <w:tcPr>
            <w:tcW w:w="3913" w:type="pct"/>
            <w:hideMark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Európsky fond regionálneho rozvoja</w:t>
            </w:r>
          </w:p>
        </w:tc>
      </w:tr>
      <w:tr w:rsidR="001A78CF" w:rsidRPr="006E2988" w:rsidTr="00111A92">
        <w:tc>
          <w:tcPr>
            <w:tcW w:w="1087" w:type="pct"/>
            <w:hideMark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EK</w:t>
            </w:r>
          </w:p>
        </w:tc>
        <w:tc>
          <w:tcPr>
            <w:tcW w:w="3913" w:type="pct"/>
            <w:hideMark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Európska komisia</w:t>
            </w:r>
          </w:p>
        </w:tc>
      </w:tr>
      <w:tr w:rsidR="001A78CF" w:rsidRPr="006E2988" w:rsidTr="00111A92">
        <w:tc>
          <w:tcPr>
            <w:tcW w:w="1087" w:type="pct"/>
            <w:hideMark/>
          </w:tcPr>
          <w:p w:rsidR="001A78CF" w:rsidRDefault="001A78CF" w:rsidP="00111A92">
            <w:r>
              <w:t>ENI</w:t>
            </w:r>
          </w:p>
          <w:p w:rsidR="001A78CF" w:rsidRDefault="001A78CF" w:rsidP="00111A92"/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ENRF</w:t>
            </w:r>
          </w:p>
        </w:tc>
        <w:tc>
          <w:tcPr>
            <w:tcW w:w="3913" w:type="pct"/>
            <w:hideMark/>
          </w:tcPr>
          <w:p w:rsidR="001A78CF" w:rsidRPr="00C05A45" w:rsidRDefault="001A78CF" w:rsidP="00111A92">
            <w:r w:rsidRPr="00C05A45">
              <w:t>Program Cezhraničná spolupráca Maďarsko – Slovensko </w:t>
            </w:r>
            <w:r>
              <w:t>–</w:t>
            </w:r>
            <w:r w:rsidRPr="00C05A45">
              <w:t xml:space="preserve"> Rumunsko </w:t>
            </w:r>
            <w:r>
              <w:t>–</w:t>
            </w:r>
            <w:r w:rsidRPr="00C05A45">
              <w:t xml:space="preserve"> Ukrajina 2014 </w:t>
            </w:r>
            <w:r>
              <w:t>–</w:t>
            </w:r>
            <w:r w:rsidRPr="00C05A45">
              <w:t xml:space="preserve"> 2020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 w:rsidRPr="002F215F">
              <w:rPr>
                <w:lang w:val="sk-SK"/>
              </w:rPr>
              <w:t>Európsky námorný a rybársky fond</w:t>
            </w:r>
          </w:p>
        </w:tc>
      </w:tr>
      <w:tr w:rsidR="001A78CF" w:rsidRPr="006E2988" w:rsidTr="00111A92">
        <w:tc>
          <w:tcPr>
            <w:tcW w:w="1087" w:type="pct"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EP</w:t>
            </w:r>
          </w:p>
        </w:tc>
        <w:tc>
          <w:tcPr>
            <w:tcW w:w="3913" w:type="pct"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Európsky parlament</w:t>
            </w:r>
          </w:p>
        </w:tc>
      </w:tr>
      <w:tr w:rsidR="001A78CF" w:rsidRPr="006E2988" w:rsidTr="00111A92">
        <w:tc>
          <w:tcPr>
            <w:tcW w:w="1087" w:type="pct"/>
            <w:hideMark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EPFRV</w:t>
            </w:r>
          </w:p>
        </w:tc>
        <w:tc>
          <w:tcPr>
            <w:tcW w:w="3913" w:type="pct"/>
            <w:hideMark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2F215F">
              <w:rPr>
                <w:lang w:val="sk-SK"/>
              </w:rPr>
              <w:t>Európsky poľnohospodársky fond pre rozvoj vidieka</w:t>
            </w:r>
          </w:p>
        </w:tc>
      </w:tr>
      <w:tr w:rsidR="001A78CF" w:rsidRPr="006E2988" w:rsidTr="00111A92">
        <w:tc>
          <w:tcPr>
            <w:tcW w:w="1087" w:type="pct"/>
            <w:hideMark/>
          </w:tcPr>
          <w:p w:rsidR="001A78CF" w:rsidRDefault="001A78CF" w:rsidP="00111A92">
            <w:r>
              <w:t>ES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ESF</w:t>
            </w:r>
          </w:p>
        </w:tc>
        <w:tc>
          <w:tcPr>
            <w:tcW w:w="3913" w:type="pct"/>
            <w:hideMark/>
          </w:tcPr>
          <w:p w:rsidR="001A78CF" w:rsidRDefault="001A78CF" w:rsidP="00111A92">
            <w:r>
              <w:t>Európske spoločenstvo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Európsky sociálny fond</w:t>
            </w:r>
          </w:p>
        </w:tc>
      </w:tr>
      <w:tr w:rsidR="001A78CF" w:rsidRPr="006E2988" w:rsidTr="00111A92">
        <w:tc>
          <w:tcPr>
            <w:tcW w:w="1087" w:type="pct"/>
            <w:hideMark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EŠIF</w:t>
            </w:r>
          </w:p>
        </w:tc>
        <w:tc>
          <w:tcPr>
            <w:tcW w:w="3913" w:type="pct"/>
            <w:hideMark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Európske štrukturálne a investičné fondy</w:t>
            </w:r>
          </w:p>
        </w:tc>
      </w:tr>
      <w:tr w:rsidR="001A78CF" w:rsidRPr="006E2988" w:rsidTr="00111A92">
        <w:tc>
          <w:tcPr>
            <w:tcW w:w="1087" w:type="pct"/>
            <w:hideMark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EÚ</w:t>
            </w:r>
          </w:p>
        </w:tc>
        <w:tc>
          <w:tcPr>
            <w:tcW w:w="3913" w:type="pct"/>
            <w:hideMark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Európska únia</w:t>
            </w:r>
          </w:p>
        </w:tc>
      </w:tr>
      <w:tr w:rsidR="001A78CF" w:rsidRPr="006E2988" w:rsidTr="00111A92">
        <w:tc>
          <w:tcPr>
            <w:tcW w:w="1087" w:type="pct"/>
            <w:hideMark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EÚS</w:t>
            </w:r>
          </w:p>
        </w:tc>
        <w:tc>
          <w:tcPr>
            <w:tcW w:w="3913" w:type="pct"/>
            <w:hideMark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Európska územná spolupráca</w:t>
            </w:r>
          </w:p>
        </w:tc>
      </w:tr>
      <w:tr w:rsidR="001A78CF" w:rsidRPr="006E2988" w:rsidTr="00111A92">
        <w:tc>
          <w:tcPr>
            <w:tcW w:w="1087" w:type="pct"/>
          </w:tcPr>
          <w:p w:rsidR="001A78CF" w:rsidRDefault="001A78CF" w:rsidP="00111A92">
            <w:r>
              <w:t>HP</w:t>
            </w:r>
          </w:p>
          <w:p w:rsidR="001A78CF" w:rsidRDefault="001A78CF" w:rsidP="00111A92">
            <w:r>
              <w:t>HP UR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>
              <w:t>HP RMŽaND</w:t>
            </w:r>
          </w:p>
        </w:tc>
        <w:tc>
          <w:tcPr>
            <w:tcW w:w="3913" w:type="pct"/>
          </w:tcPr>
          <w:p w:rsidR="001A78CF" w:rsidRDefault="001A78CF" w:rsidP="00111A92">
            <w:r w:rsidRPr="006E2988">
              <w:t>Horizo</w:t>
            </w:r>
            <w:r>
              <w:t>ntálny princíp</w:t>
            </w:r>
          </w:p>
          <w:p w:rsidR="001A78CF" w:rsidRDefault="001A78CF" w:rsidP="00111A92">
            <w:r>
              <w:t>Horizontálny princím udržateľný rozvoj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>
              <w:t>Horizontálny princíp rovnosť mužov a žien a nediskriminácia</w:t>
            </w:r>
          </w:p>
        </w:tc>
      </w:tr>
      <w:tr w:rsidR="001A78CF" w:rsidRPr="006E2988" w:rsidTr="00111A92">
        <w:tc>
          <w:tcPr>
            <w:tcW w:w="1087" w:type="pct"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ID</w:t>
            </w:r>
          </w:p>
        </w:tc>
        <w:tc>
          <w:tcPr>
            <w:tcW w:w="3913" w:type="pct"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2F215F">
              <w:rPr>
                <w:lang w:val="sk-SK"/>
              </w:rPr>
              <w:t>Identifikačné číslo ukazovateľa z číselníka ukazovateľov</w:t>
            </w:r>
          </w:p>
        </w:tc>
      </w:tr>
      <w:tr w:rsidR="001A78CF" w:rsidRPr="006E2988" w:rsidTr="00111A92">
        <w:tc>
          <w:tcPr>
            <w:tcW w:w="1087" w:type="pct"/>
          </w:tcPr>
          <w:p w:rsidR="001A78CF" w:rsidRDefault="001A78CF" w:rsidP="00111A92">
            <w:r>
              <w:t>IPA</w:t>
            </w:r>
          </w:p>
          <w:p w:rsidR="001A78CF" w:rsidRDefault="001A78CF" w:rsidP="00111A92">
            <w:r>
              <w:t>IS</w:t>
            </w:r>
          </w:p>
          <w:p w:rsidR="001A78CF" w:rsidRPr="006E2988" w:rsidRDefault="001A78CF" w:rsidP="00111A92">
            <w:r>
              <w:t>ISUF</w:t>
            </w:r>
          </w:p>
        </w:tc>
        <w:tc>
          <w:tcPr>
            <w:tcW w:w="3913" w:type="pct"/>
          </w:tcPr>
          <w:p w:rsidR="001A78CF" w:rsidRDefault="001A78CF" w:rsidP="00111A92">
            <w:r>
              <w:t>Nástroj predvstupovej pomoci</w:t>
            </w:r>
          </w:p>
          <w:p w:rsidR="001A78CF" w:rsidRDefault="001A78CF" w:rsidP="00111A92">
            <w:r>
              <w:t>Informačný systém</w:t>
            </w:r>
          </w:p>
          <w:p w:rsidR="001A78CF" w:rsidRPr="006E2988" w:rsidRDefault="001A78CF" w:rsidP="00111A92">
            <w:r>
              <w:t>Informačný systém účtovníctva fondov</w:t>
            </w:r>
          </w:p>
        </w:tc>
      </w:tr>
      <w:tr w:rsidR="001A78CF" w:rsidRPr="006E2988" w:rsidTr="00111A92">
        <w:tc>
          <w:tcPr>
            <w:tcW w:w="1087" w:type="pct"/>
            <w:hideMark/>
          </w:tcPr>
          <w:p w:rsidR="001A78CF" w:rsidRDefault="001A78CF" w:rsidP="00111A92">
            <w:r>
              <w:t>IT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ITMS</w:t>
            </w:r>
            <w:r>
              <w:t xml:space="preserve"> </w:t>
            </w:r>
          </w:p>
        </w:tc>
        <w:tc>
          <w:tcPr>
            <w:tcW w:w="3913" w:type="pct"/>
            <w:hideMark/>
          </w:tcPr>
          <w:p w:rsidR="001A78CF" w:rsidRDefault="001A78CF" w:rsidP="00111A92">
            <w:r>
              <w:t>Informačné technológie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IT monitorovací systém</w:t>
            </w:r>
          </w:p>
        </w:tc>
      </w:tr>
      <w:tr w:rsidR="001A78CF" w:rsidRPr="006E2988" w:rsidTr="00111A92">
        <w:tc>
          <w:tcPr>
            <w:tcW w:w="1087" w:type="pct"/>
            <w:hideMark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IZM</w:t>
            </w:r>
          </w:p>
        </w:tc>
        <w:tc>
          <w:tcPr>
            <w:tcW w:w="3913" w:type="pct"/>
            <w:hideMark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2F215F">
              <w:rPr>
                <w:lang w:val="sk-SK"/>
              </w:rPr>
              <w:t>Iniciatíva na podporu zamestnanosti mladých ľudí</w:t>
            </w:r>
          </w:p>
        </w:tc>
      </w:tr>
      <w:tr w:rsidR="001A78CF" w:rsidRPr="006E2988" w:rsidTr="00111A92">
        <w:tc>
          <w:tcPr>
            <w:tcW w:w="1087" w:type="pct"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KF</w:t>
            </w:r>
          </w:p>
        </w:tc>
        <w:tc>
          <w:tcPr>
            <w:tcW w:w="3913" w:type="pct"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Kohézny fond</w:t>
            </w:r>
          </w:p>
        </w:tc>
      </w:tr>
      <w:tr w:rsidR="001A78CF" w:rsidRPr="006E2988" w:rsidTr="00111A92">
        <w:tc>
          <w:tcPr>
            <w:tcW w:w="1087" w:type="pct"/>
          </w:tcPr>
          <w:p w:rsidR="001A78CF" w:rsidRDefault="001A78CF" w:rsidP="00111A92">
            <w:r>
              <w:t>MV</w:t>
            </w:r>
          </w:p>
          <w:p w:rsidR="001A78CF" w:rsidRDefault="001A78CF" w:rsidP="00111A92">
            <w:r>
              <w:t>N/A</w:t>
            </w:r>
          </w:p>
          <w:p w:rsidR="001A78CF" w:rsidRDefault="001A78CF" w:rsidP="00111A92">
            <w:r>
              <w:t>NFP</w:t>
            </w:r>
          </w:p>
          <w:p w:rsidR="001A78CF" w:rsidRDefault="001A78CF" w:rsidP="00111A92">
            <w:r w:rsidRPr="006E2988">
              <w:t>NUTS</w:t>
            </w:r>
          </w:p>
          <w:p w:rsidR="001A78CF" w:rsidRDefault="001A78CF" w:rsidP="00111A92">
            <w:r>
              <w:t>OA</w:t>
            </w:r>
          </w:p>
          <w:p w:rsidR="001A78CF" w:rsidRDefault="001A78CF" w:rsidP="00111A92">
            <w:r>
              <w:t>OAK EŠIF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>
              <w:t>OCKÚ OLAF</w:t>
            </w:r>
          </w:p>
        </w:tc>
        <w:tc>
          <w:tcPr>
            <w:tcW w:w="3913" w:type="pct"/>
          </w:tcPr>
          <w:p w:rsidR="001A78CF" w:rsidRDefault="001A78CF" w:rsidP="00111A92">
            <w:pPr>
              <w:rPr>
                <w:rStyle w:val="st1"/>
                <w:rFonts w:eastAsiaTheme="majorEastAsia"/>
              </w:rPr>
            </w:pPr>
            <w:r>
              <w:rPr>
                <w:rStyle w:val="st1"/>
                <w:rFonts w:eastAsiaTheme="majorEastAsia"/>
              </w:rPr>
              <w:t>Monitorovací výbor</w:t>
            </w:r>
          </w:p>
          <w:p w:rsidR="001A78CF" w:rsidRPr="00DD6C24" w:rsidRDefault="001A78CF" w:rsidP="00111A92">
            <w:r w:rsidRPr="00DD6C24">
              <w:rPr>
                <w:rStyle w:val="st1"/>
                <w:rFonts w:eastAsiaTheme="majorEastAsia"/>
              </w:rPr>
              <w:t>Not Applicable (</w:t>
            </w:r>
            <w:r>
              <w:rPr>
                <w:rStyle w:val="st1"/>
                <w:rFonts w:eastAsiaTheme="majorEastAsia"/>
              </w:rPr>
              <w:t xml:space="preserve">t. j. </w:t>
            </w:r>
            <w:r w:rsidRPr="00DD6C24">
              <w:rPr>
                <w:rStyle w:val="st1"/>
                <w:rFonts w:eastAsiaTheme="majorEastAsia"/>
              </w:rPr>
              <w:t xml:space="preserve">nedostupné </w:t>
            </w:r>
            <w:r>
              <w:rPr>
                <w:rStyle w:val="st1"/>
                <w:rFonts w:eastAsiaTheme="majorEastAsia"/>
              </w:rPr>
              <w:t>alebo</w:t>
            </w:r>
            <w:r w:rsidRPr="00DD6C24">
              <w:rPr>
                <w:rStyle w:val="st1"/>
                <w:rFonts w:eastAsiaTheme="majorEastAsia"/>
              </w:rPr>
              <w:t xml:space="preserve"> neaplikovatelné</w:t>
            </w:r>
            <w:r>
              <w:rPr>
                <w:rStyle w:val="st1"/>
                <w:rFonts w:eastAsiaTheme="majorEastAsia"/>
              </w:rPr>
              <w:t>)</w:t>
            </w:r>
          </w:p>
          <w:p w:rsidR="001A78CF" w:rsidRDefault="001A78CF" w:rsidP="00111A92">
            <w:r>
              <w:t>Nenávratný finančný príspevok</w:t>
            </w:r>
          </w:p>
          <w:p w:rsidR="001A78CF" w:rsidRDefault="001A78CF" w:rsidP="00111A92">
            <w:r w:rsidRPr="006E2988">
              <w:t>Nomenklatúra územných štatistických jednotiek</w:t>
            </w:r>
          </w:p>
          <w:p w:rsidR="001A78CF" w:rsidRDefault="001A78CF" w:rsidP="00111A92">
            <w:r>
              <w:t>Orgán auditu</w:t>
            </w:r>
          </w:p>
          <w:p w:rsidR="001A78CF" w:rsidRDefault="001A78CF" w:rsidP="00111A92">
            <w:r>
              <w:t>Odbor administratívnych kapacít EŠIF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>
              <w:t>Odbor centrálny kontaktný útvar OLAF</w:t>
            </w:r>
          </w:p>
        </w:tc>
      </w:tr>
      <w:tr w:rsidR="001A78CF" w:rsidRPr="006E2988" w:rsidTr="00111A92">
        <w:tc>
          <w:tcPr>
            <w:tcW w:w="1087" w:type="pct"/>
            <w:hideMark/>
          </w:tcPr>
          <w:p w:rsidR="001A78CF" w:rsidRDefault="001A78CF" w:rsidP="00111A92">
            <w:r w:rsidRPr="006E2988">
              <w:t>OP</w:t>
            </w:r>
            <w:r>
              <w:t xml:space="preserve"> TP</w:t>
            </w:r>
          </w:p>
          <w:p w:rsidR="001A78CF" w:rsidRDefault="001A78CF" w:rsidP="00111A92">
            <w:r>
              <w:t xml:space="preserve">PD   </w:t>
            </w:r>
          </w:p>
          <w:p w:rsidR="001A78CF" w:rsidRDefault="001A78CF" w:rsidP="00111A92">
            <w:r>
              <w:t>PMÚ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>
              <w:t xml:space="preserve">PS               </w:t>
            </w:r>
          </w:p>
        </w:tc>
        <w:tc>
          <w:tcPr>
            <w:tcW w:w="3913" w:type="pct"/>
            <w:hideMark/>
          </w:tcPr>
          <w:p w:rsidR="001A78CF" w:rsidRDefault="001A78CF" w:rsidP="00111A92">
            <w:r w:rsidRPr="006E2988">
              <w:t>Operačný program</w:t>
            </w:r>
            <w:r>
              <w:t xml:space="preserve"> </w:t>
            </w:r>
            <w:r w:rsidRPr="006E2988">
              <w:t>Technická pomoc</w:t>
            </w:r>
          </w:p>
          <w:p w:rsidR="001A78CF" w:rsidRDefault="001A78CF" w:rsidP="00111A92">
            <w:pPr>
              <w:rPr>
                <w:lang w:val="sk-SK"/>
              </w:rPr>
            </w:pPr>
            <w:r>
              <w:rPr>
                <w:lang w:val="sk-SK"/>
              </w:rPr>
              <w:t>Partnerská dohoda SR na roky 2014-2020</w:t>
            </w:r>
          </w:p>
          <w:p w:rsidR="001A78CF" w:rsidRDefault="001A78CF" w:rsidP="00111A92">
            <w:pPr>
              <w:rPr>
                <w:lang w:val="sk-SK"/>
              </w:rPr>
            </w:pPr>
            <w:r>
              <w:rPr>
                <w:lang w:val="sk-SK"/>
              </w:rPr>
              <w:t>Protimonopolný úrad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>
              <w:rPr>
                <w:lang w:val="sk-SK"/>
              </w:rPr>
              <w:t>Pracovná skupina</w:t>
            </w:r>
          </w:p>
        </w:tc>
      </w:tr>
      <w:tr w:rsidR="001A78CF" w:rsidRPr="006E2988" w:rsidTr="00111A92">
        <w:tc>
          <w:tcPr>
            <w:tcW w:w="1087" w:type="pct"/>
          </w:tcPr>
          <w:p w:rsidR="001A78CF" w:rsidRDefault="001A78CF" w:rsidP="00111A92">
            <w:r>
              <w:t>PJ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>
              <w:t>PO</w:t>
            </w:r>
          </w:p>
        </w:tc>
        <w:tc>
          <w:tcPr>
            <w:tcW w:w="3913" w:type="pct"/>
          </w:tcPr>
          <w:p w:rsidR="001A78CF" w:rsidRDefault="001A78CF" w:rsidP="00111A92">
            <w:r>
              <w:t>Platobná jednotka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>
              <w:t>Programové obdobie/Prioritná os</w:t>
            </w:r>
          </w:p>
        </w:tc>
      </w:tr>
      <w:tr w:rsidR="001A78CF" w:rsidRPr="006E2988" w:rsidTr="00111A92">
        <w:tc>
          <w:tcPr>
            <w:tcW w:w="1087" w:type="pct"/>
          </w:tcPr>
          <w:p w:rsidR="001A78CF" w:rsidRDefault="001A78CF" w:rsidP="00111A92">
            <w:r w:rsidRPr="006E2988">
              <w:t>RIÚS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>
              <w:lastRenderedPageBreak/>
              <w:t>RKP</w:t>
            </w:r>
          </w:p>
        </w:tc>
        <w:tc>
          <w:tcPr>
            <w:tcW w:w="3913" w:type="pct"/>
          </w:tcPr>
          <w:p w:rsidR="001A78CF" w:rsidRDefault="001A78CF" w:rsidP="00111A92">
            <w:r w:rsidRPr="006E2988">
              <w:lastRenderedPageBreak/>
              <w:t>Regionálna integrovaná územná stratégia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>
              <w:lastRenderedPageBreak/>
              <w:t xml:space="preserve">Ročný komunikačný plán OP TP </w:t>
            </w:r>
          </w:p>
        </w:tc>
      </w:tr>
      <w:tr w:rsidR="001A78CF" w:rsidRPr="006E2988" w:rsidTr="00111A92">
        <w:tc>
          <w:tcPr>
            <w:tcW w:w="1087" w:type="pct"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lastRenderedPageBreak/>
              <w:t>RO</w:t>
            </w:r>
          </w:p>
        </w:tc>
        <w:tc>
          <w:tcPr>
            <w:tcW w:w="3913" w:type="pct"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Riadiaci orgán</w:t>
            </w:r>
          </w:p>
        </w:tc>
      </w:tr>
      <w:tr w:rsidR="001A78CF" w:rsidRPr="006E2988" w:rsidTr="00111A92">
        <w:tc>
          <w:tcPr>
            <w:tcW w:w="1087" w:type="pct"/>
          </w:tcPr>
          <w:p w:rsidR="001A78CF" w:rsidRPr="006E2988" w:rsidRDefault="001A78CF" w:rsidP="00111A92">
            <w:pPr>
              <w:rPr>
                <w:lang w:val="sk-SK"/>
              </w:rPr>
            </w:pPr>
            <w:r w:rsidRPr="006E2988">
              <w:t>SFC2014</w:t>
            </w:r>
          </w:p>
        </w:tc>
        <w:tc>
          <w:tcPr>
            <w:tcW w:w="3913" w:type="pct"/>
          </w:tcPr>
          <w:p w:rsidR="001A78CF" w:rsidRPr="00ED7889" w:rsidRDefault="001A78CF" w:rsidP="00111A92">
            <w:pPr>
              <w:rPr>
                <w:lang w:val="fr-FR"/>
              </w:rPr>
            </w:pPr>
            <w:r w:rsidRPr="002F215F">
              <w:rPr>
                <w:lang w:val="fr-FR"/>
              </w:rPr>
              <w:t xml:space="preserve">Systém Európskej únie pre riadenie fondov v </w:t>
            </w:r>
            <w:r>
              <w:rPr>
                <w:lang w:val="fr-FR"/>
              </w:rPr>
              <w:t xml:space="preserve">PO </w:t>
            </w:r>
            <w:r w:rsidRPr="002F215F">
              <w:rPr>
                <w:lang w:val="fr-FR"/>
              </w:rPr>
              <w:t>2014</w:t>
            </w:r>
            <w:r>
              <w:rPr>
                <w:lang w:val="fr-FR"/>
              </w:rPr>
              <w:t xml:space="preserve"> –</w:t>
            </w:r>
            <w:r w:rsidRPr="002F215F">
              <w:rPr>
                <w:lang w:val="fr-FR"/>
              </w:rPr>
              <w:t xml:space="preserve"> 2020</w:t>
            </w:r>
          </w:p>
        </w:tc>
      </w:tr>
      <w:tr w:rsidR="001A78CF" w:rsidRPr="006E2988" w:rsidTr="00111A92">
        <w:tc>
          <w:tcPr>
            <w:tcW w:w="1087" w:type="pct"/>
          </w:tcPr>
          <w:p w:rsidR="001A78CF" w:rsidRDefault="001A78CF" w:rsidP="00111A92">
            <w:r w:rsidRPr="006E2988">
              <w:t>SO</w:t>
            </w:r>
          </w:p>
          <w:p w:rsidR="001A78CF" w:rsidRDefault="001A78CF" w:rsidP="00111A92">
            <w:r>
              <w:t>SR</w:t>
            </w:r>
          </w:p>
          <w:p w:rsidR="001A78CF" w:rsidRDefault="001A78CF" w:rsidP="00111A92">
            <w:r>
              <w:t>SŽP</w:t>
            </w:r>
          </w:p>
          <w:p w:rsidR="001A78CF" w:rsidRDefault="001A78CF" w:rsidP="00111A92">
            <w:r>
              <w:t>ŠC</w:t>
            </w:r>
          </w:p>
          <w:p w:rsidR="001A78CF" w:rsidRDefault="001A78CF" w:rsidP="00111A92">
            <w:r>
              <w:t>ŠF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 w:rsidRPr="00FD7B91">
              <w:rPr>
                <w:lang w:val="sk-SK"/>
              </w:rPr>
              <w:t>ÚPPVII SR</w:t>
            </w:r>
          </w:p>
        </w:tc>
        <w:tc>
          <w:tcPr>
            <w:tcW w:w="3913" w:type="pct"/>
          </w:tcPr>
          <w:p w:rsidR="001A78CF" w:rsidRDefault="001A78CF" w:rsidP="00111A92">
            <w:r w:rsidRPr="006E2988">
              <w:t xml:space="preserve">Sprostredkovateľský </w:t>
            </w:r>
            <w:r>
              <w:t>orgán</w:t>
            </w:r>
          </w:p>
          <w:p w:rsidR="001A78CF" w:rsidRDefault="001A78CF" w:rsidP="00111A92">
            <w:r>
              <w:t>Slovenská republika</w:t>
            </w:r>
          </w:p>
          <w:p w:rsidR="001A78CF" w:rsidRDefault="001A78CF" w:rsidP="00111A92">
            <w:r>
              <w:t>Súhrnná žiadosť o platbu</w:t>
            </w:r>
          </w:p>
          <w:p w:rsidR="001A78CF" w:rsidRDefault="001A78CF" w:rsidP="00111A92">
            <w:r>
              <w:t>Špecifický cieľ</w:t>
            </w:r>
          </w:p>
          <w:p w:rsidR="001A78CF" w:rsidRDefault="001A78CF" w:rsidP="00111A92">
            <w:r>
              <w:t>Štrukturálne fondy</w:t>
            </w:r>
          </w:p>
          <w:p w:rsidR="001A78CF" w:rsidRPr="006E2988" w:rsidRDefault="001A78CF" w:rsidP="00111A92">
            <w:pPr>
              <w:rPr>
                <w:lang w:val="sk-SK"/>
              </w:rPr>
            </w:pPr>
            <w:r>
              <w:t>Úrad podpredsedu vlády pre investície a informatizáciu SR</w:t>
            </w:r>
          </w:p>
        </w:tc>
      </w:tr>
    </w:tbl>
    <w:p w:rsidR="008B6AC7" w:rsidRDefault="001A78CF" w:rsidP="001A78CF">
      <w:r>
        <w:t>UVP</w:t>
      </w:r>
      <w:r>
        <w:tab/>
      </w:r>
      <w:r>
        <w:tab/>
        <w:t xml:space="preserve">          Ukazovateľ výsledku programu</w:t>
      </w:r>
    </w:p>
    <w:p w:rsidR="00E43DF2" w:rsidRPr="00717582" w:rsidRDefault="008B6AC7">
      <w:pPr>
        <w:spacing w:after="200" w:line="276" w:lineRule="auto"/>
        <w:rPr>
          <w:rFonts w:eastAsiaTheme="majorEastAsia" w:cstheme="majorBidi"/>
          <w:bCs/>
          <w:iCs/>
        </w:rPr>
      </w:pPr>
      <w:r w:rsidRPr="00717582">
        <w:rPr>
          <w:rFonts w:eastAsiaTheme="majorEastAsia" w:cstheme="majorBidi"/>
          <w:bCs/>
          <w:iCs/>
        </w:rPr>
        <w:t>ZPC</w:t>
      </w:r>
      <w:r w:rsidRPr="00717582">
        <w:rPr>
          <w:rFonts w:eastAsiaTheme="majorEastAsia" w:cstheme="majorBidi"/>
          <w:bCs/>
          <w:iCs/>
        </w:rPr>
        <w:tab/>
      </w:r>
      <w:r w:rsidRPr="00717582">
        <w:rPr>
          <w:rFonts w:eastAsiaTheme="majorEastAsia" w:cstheme="majorBidi"/>
          <w:bCs/>
          <w:iCs/>
        </w:rPr>
        <w:tab/>
        <w:t xml:space="preserve">          Zahraničná pracovná cesta</w:t>
      </w:r>
    </w:p>
    <w:sectPr w:rsidR="00E43DF2" w:rsidRPr="00717582" w:rsidSect="00087513">
      <w:headerReference w:type="default" r:id="rId43"/>
      <w:footerReference w:type="default" r:id="rId4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0F6" w:rsidRDefault="00FF40F6" w:rsidP="007B58ED">
      <w:r>
        <w:separator/>
      </w:r>
    </w:p>
  </w:endnote>
  <w:endnote w:type="continuationSeparator" w:id="0">
    <w:p w:rsidR="00FF40F6" w:rsidRDefault="00FF40F6" w:rsidP="007B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8618770"/>
      <w:docPartObj>
        <w:docPartGallery w:val="Page Numbers (Bottom of Page)"/>
        <w:docPartUnique/>
      </w:docPartObj>
    </w:sdtPr>
    <w:sdtEndPr/>
    <w:sdtContent>
      <w:p w:rsidR="00717582" w:rsidRDefault="00717582" w:rsidP="00C936F2">
        <w:r w:rsidRPr="00CF60E2">
          <w:rPr>
            <w:noProof/>
          </w:rPr>
          <mc:AlternateContent>
            <mc:Choice Requires="wps">
              <w:drawing>
                <wp:anchor distT="0" distB="0" distL="114300" distR="114300" simplePos="0" relativeHeight="251675136" behindDoc="0" locked="0" layoutInCell="1" allowOverlap="1" wp14:anchorId="59A0CC78" wp14:editId="08D0F39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151130</wp:posOffset>
                  </wp:positionV>
                  <wp:extent cx="5762625" cy="9525"/>
                  <wp:effectExtent l="57150" t="38100" r="47625" b="85725"/>
                  <wp:wrapNone/>
                  <wp:docPr id="14" name="Rovná spojnica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762625" cy="9525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93EBE2E" id="Rovná spojnica 14" o:spid="_x0000_s1026" style="position:absolute;flip:y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" strokecolor="#4f81bd" strokeweight="3pt">
                  <v:shadow on="t" color="black" opacity="22937f" origin=",.5" offset="0,.63889mm"/>
                </v:line>
              </w:pict>
            </mc:Fallback>
          </mc:AlternateContent>
        </w:r>
      </w:p>
      <w:p w:rsidR="00717582" w:rsidRDefault="00717582" w:rsidP="00757504">
        <w:pPr>
          <w:tabs>
            <w:tab w:val="center" w:pos="4536"/>
            <w:tab w:val="right" w:pos="9072"/>
          </w:tabs>
          <w:jc w:val="right"/>
        </w:pPr>
        <w:r w:rsidRPr="00CF60E2">
          <w:t xml:space="preserve">Strana </w:t>
        </w:r>
        <w:sdt>
          <w:sdtPr>
            <w:id w:val="2020818567"/>
            <w:docPartObj>
              <w:docPartGallery w:val="Page Numbers (Bottom of Page)"/>
              <w:docPartUnique/>
            </w:docPartObj>
          </w:sdtPr>
          <w:sdtEndPr/>
          <w:sdtContent>
            <w:r w:rsidRPr="00CF60E2">
              <w:fldChar w:fldCharType="begin"/>
            </w:r>
            <w:r w:rsidRPr="00CF60E2">
              <w:instrText>PAGE   \* MERGEFORMAT</w:instrText>
            </w:r>
            <w:r w:rsidRPr="00CF60E2">
              <w:fldChar w:fldCharType="separate"/>
            </w:r>
            <w:r w:rsidR="0084296C">
              <w:rPr>
                <w:noProof/>
              </w:rPr>
              <w:t>2</w:t>
            </w:r>
            <w:r w:rsidRPr="00CF60E2">
              <w:fldChar w:fldCharType="end"/>
            </w:r>
          </w:sdtContent>
        </w:sdt>
      </w:p>
    </w:sdtContent>
  </w:sdt>
  <w:p w:rsidR="00717582" w:rsidRDefault="0071758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866358"/>
      <w:docPartObj>
        <w:docPartGallery w:val="Page Numbers (Bottom of Page)"/>
        <w:docPartUnique/>
      </w:docPartObj>
    </w:sdtPr>
    <w:sdtEndPr/>
    <w:sdtContent>
      <w:p w:rsidR="00717582" w:rsidRDefault="00717582" w:rsidP="007E18FA">
        <w:r w:rsidRPr="00CF60E2">
          <w:rPr>
            <w:noProof/>
          </w:rPr>
          <mc:AlternateContent>
            <mc:Choice Requires="wps">
              <w:drawing>
                <wp:anchor distT="0" distB="0" distL="114300" distR="114300" simplePos="0" relativeHeight="251650560" behindDoc="0" locked="0" layoutInCell="1" allowOverlap="1" wp14:anchorId="5962F84C" wp14:editId="44DC4ED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153035</wp:posOffset>
                  </wp:positionV>
                  <wp:extent cx="8915400" cy="9526"/>
                  <wp:effectExtent l="57150" t="38100" r="57150" b="85725"/>
                  <wp:wrapNone/>
                  <wp:docPr id="26" name="Rovná spojnica 2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8915400" cy="9526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0ED4118" id="Rovná spojnica 26" o:spid="_x0000_s1026" style="position:absolute;flip:y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2.05pt" to="701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" strokecolor="#4f81bd" strokeweight="3pt">
                  <v:shadow on="t" color="black" opacity="22937f" origin=",.5" offset="0,.63889mm"/>
                </v:line>
              </w:pict>
            </mc:Fallback>
          </mc:AlternateContent>
        </w:r>
      </w:p>
      <w:p w:rsidR="00717582" w:rsidRPr="00CF60E2" w:rsidRDefault="00717582" w:rsidP="007E18FA">
        <w:pPr>
          <w:tabs>
            <w:tab w:val="center" w:pos="4536"/>
            <w:tab w:val="right" w:pos="9072"/>
          </w:tabs>
          <w:jc w:val="right"/>
        </w:pPr>
        <w:r w:rsidRPr="00CF60E2">
          <w:t xml:space="preserve">Strana </w:t>
        </w:r>
        <w:sdt>
          <w:sdtPr>
            <w:id w:val="-1881624354"/>
            <w:docPartObj>
              <w:docPartGallery w:val="Page Numbers (Bottom of Page)"/>
              <w:docPartUnique/>
            </w:docPartObj>
          </w:sdtPr>
          <w:sdtEndPr/>
          <w:sdtContent>
            <w:r w:rsidRPr="00CF60E2">
              <w:fldChar w:fldCharType="begin"/>
            </w:r>
            <w:r w:rsidRPr="00CF60E2">
              <w:instrText>PAGE   \* MERGEFORMAT</w:instrText>
            </w:r>
            <w:r w:rsidRPr="00CF60E2">
              <w:fldChar w:fldCharType="separate"/>
            </w:r>
            <w:r w:rsidR="0084296C">
              <w:rPr>
                <w:noProof/>
              </w:rPr>
              <w:t>18</w:t>
            </w:r>
            <w:r w:rsidRPr="00CF60E2">
              <w:fldChar w:fldCharType="end"/>
            </w:r>
          </w:sdtContent>
        </w:sdt>
      </w:p>
      <w:p w:rsidR="00717582" w:rsidRDefault="00FF40F6">
        <w:pPr>
          <w:pStyle w:val="Pta"/>
          <w:jc w:val="center"/>
        </w:pPr>
      </w:p>
    </w:sdtContent>
  </w:sdt>
  <w:p w:rsidR="00717582" w:rsidRDefault="0071758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82" w:rsidRPr="00CF60E2" w:rsidRDefault="00717582" w:rsidP="007E18FA">
    <w:pPr>
      <w:tabs>
        <w:tab w:val="center" w:pos="4536"/>
        <w:tab w:val="right" w:pos="9072"/>
      </w:tabs>
      <w:jc w:val="right"/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5F7C1E61" wp14:editId="37A64E06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70" name="Rovná spojnica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9878155" id="Rovná spojnica 70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" strokecolor="#4f81bd" strokeweight="3pt">
              <v:shadow on="t" color="black" opacity="22937f" origin=",.5" offset="0,.63889mm"/>
            </v:line>
          </w:pict>
        </mc:Fallback>
      </mc:AlternateContent>
    </w:r>
    <w:r w:rsidRPr="00CF60E2">
      <w:t xml:space="preserve"> </w:t>
    </w:r>
  </w:p>
  <w:p w:rsidR="00717582" w:rsidRPr="00CF60E2" w:rsidRDefault="00717582" w:rsidP="007E18FA">
    <w:pPr>
      <w:tabs>
        <w:tab w:val="center" w:pos="4536"/>
        <w:tab w:val="right" w:pos="9072"/>
      </w:tabs>
      <w:jc w:val="right"/>
    </w:pPr>
    <w:r w:rsidRPr="00CF60E2">
      <w:t xml:space="preserve">Strana </w:t>
    </w:r>
    <w:sdt>
      <w:sdtPr>
        <w:id w:val="692188625"/>
        <w:docPartObj>
          <w:docPartGallery w:val="Page Numbers (Bottom of Page)"/>
          <w:docPartUnique/>
        </w:docPartObj>
      </w:sdtPr>
      <w:sdtEndPr/>
      <w:sdtContent>
        <w:r w:rsidRPr="00CF60E2">
          <w:fldChar w:fldCharType="begin"/>
        </w:r>
        <w:r w:rsidRPr="00CF60E2">
          <w:instrText>PAGE   \* MERGEFORMAT</w:instrText>
        </w:r>
        <w:r w:rsidRPr="00CF60E2">
          <w:fldChar w:fldCharType="separate"/>
        </w:r>
        <w:r w:rsidR="0084296C">
          <w:rPr>
            <w:noProof/>
          </w:rPr>
          <w:t>22</w:t>
        </w:r>
        <w:r w:rsidRPr="00CF60E2">
          <w:fldChar w:fldCharType="end"/>
        </w:r>
      </w:sdtContent>
    </w:sdt>
  </w:p>
  <w:p w:rsidR="00717582" w:rsidRDefault="00717582" w:rsidP="007E18FA">
    <w:pPr>
      <w:pStyle w:val="Pta"/>
    </w:pPr>
  </w:p>
  <w:p w:rsidR="00717582" w:rsidRDefault="00717582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5746818"/>
      <w:docPartObj>
        <w:docPartGallery w:val="Page Numbers (Bottom of Page)"/>
        <w:docPartUnique/>
      </w:docPartObj>
    </w:sdtPr>
    <w:sdtEndPr/>
    <w:sdtContent>
      <w:p w:rsidR="00717582" w:rsidRDefault="00717582" w:rsidP="007E18FA"/>
      <w:p w:rsidR="00717582" w:rsidRPr="00CF60E2" w:rsidRDefault="00717582" w:rsidP="007E18FA">
        <w:pPr>
          <w:tabs>
            <w:tab w:val="center" w:pos="4536"/>
            <w:tab w:val="right" w:pos="9072"/>
          </w:tabs>
          <w:jc w:val="right"/>
        </w:pPr>
        <w:r w:rsidRPr="00CF60E2">
          <w:rPr>
            <w:noProof/>
          </w:rPr>
          <w:drawing>
            <wp:anchor distT="0" distB="0" distL="114300" distR="114300" simplePos="0" relativeHeight="251643392" behindDoc="1" locked="0" layoutInCell="1" allowOverlap="1" wp14:anchorId="1D3D8EBD" wp14:editId="5D99BBAE">
              <wp:simplePos x="0" y="0"/>
              <wp:positionH relativeFrom="column">
                <wp:posOffset>71755</wp:posOffset>
              </wp:positionH>
              <wp:positionV relativeFrom="paragraph">
                <wp:posOffset>53340</wp:posOffset>
              </wp:positionV>
              <wp:extent cx="704850" cy="513080"/>
              <wp:effectExtent l="0" t="0" r="0" b="1270"/>
              <wp:wrapTight wrapText="bothSides">
                <wp:wrapPolygon edited="0">
                  <wp:start x="0" y="0"/>
                  <wp:lineTo x="0" y="20851"/>
                  <wp:lineTo x="21016" y="20851"/>
                  <wp:lineTo x="21016" y="0"/>
                  <wp:lineTo x="0" y="0"/>
                </wp:wrapPolygon>
              </wp:wrapTight>
              <wp:docPr id="4" name="Obrázo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51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F60E2">
          <w:t xml:space="preserve">Strana </w:t>
        </w:r>
        <w:sdt>
          <w:sdtPr>
            <w:id w:val="-89400438"/>
            <w:docPartObj>
              <w:docPartGallery w:val="Page Numbers (Bottom of Page)"/>
              <w:docPartUnique/>
            </w:docPartObj>
          </w:sdtPr>
          <w:sdtEndPr/>
          <w:sdtContent>
            <w:r>
              <w:t>46</w:t>
            </w:r>
          </w:sdtContent>
        </w:sdt>
      </w:p>
      <w:p w:rsidR="00717582" w:rsidRDefault="00FF40F6" w:rsidP="007E18FA">
        <w:pPr>
          <w:pStyle w:val="Pta"/>
          <w:jc w:val="center"/>
        </w:pPr>
      </w:p>
    </w:sdtContent>
  </w:sdt>
  <w:p w:rsidR="00717582" w:rsidRDefault="00717582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82" w:rsidRPr="00CF60E2" w:rsidRDefault="00717582" w:rsidP="007E18FA">
    <w:pPr>
      <w:tabs>
        <w:tab w:val="center" w:pos="4536"/>
        <w:tab w:val="right" w:pos="9072"/>
      </w:tabs>
      <w:jc w:val="right"/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4DA1E368" wp14:editId="569DFE85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84" name="Rovná spojnica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D8A6F1F" id="Rovná spojnica 84" o:spid="_x0000_s1026" style="position:absolute;flip:y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" strokecolor="#4f81bd" strokeweight="3pt">
              <v:shadow on="t" color="black" opacity="22937f" origin=",.5" offset="0,.63889mm"/>
            </v:line>
          </w:pict>
        </mc:Fallback>
      </mc:AlternateContent>
    </w:r>
    <w:r w:rsidRPr="00CF60E2">
      <w:t xml:space="preserve"> Strana </w:t>
    </w:r>
    <w:sdt>
      <w:sdtPr>
        <w:id w:val="207387332"/>
        <w:docPartObj>
          <w:docPartGallery w:val="Page Numbers (Bottom of Page)"/>
          <w:docPartUnique/>
        </w:docPartObj>
      </w:sdtPr>
      <w:sdtEndPr/>
      <w:sdtContent>
        <w:r w:rsidRPr="00CF60E2">
          <w:fldChar w:fldCharType="begin"/>
        </w:r>
        <w:r w:rsidRPr="00CF60E2">
          <w:instrText>PAGE   \* MERGEFORMAT</w:instrText>
        </w:r>
        <w:r w:rsidRPr="00CF60E2">
          <w:fldChar w:fldCharType="separate"/>
        </w:r>
        <w:r w:rsidR="0084296C">
          <w:rPr>
            <w:noProof/>
          </w:rPr>
          <w:t>46</w:t>
        </w:r>
        <w:r w:rsidRPr="00CF60E2">
          <w:fldChar w:fldCharType="end"/>
        </w:r>
      </w:sdtContent>
    </w:sdt>
  </w:p>
  <w:p w:rsidR="00717582" w:rsidRDefault="00717582" w:rsidP="007E18FA">
    <w:pPr>
      <w:pStyle w:val="Pta"/>
    </w:pPr>
  </w:p>
  <w:p w:rsidR="00717582" w:rsidRDefault="0071758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0F6" w:rsidRDefault="00FF40F6" w:rsidP="007B58ED">
      <w:r>
        <w:separator/>
      </w:r>
    </w:p>
  </w:footnote>
  <w:footnote w:type="continuationSeparator" w:id="0">
    <w:p w:rsidR="00FF40F6" w:rsidRDefault="00FF40F6" w:rsidP="007B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82" w:rsidRPr="002F215F" w:rsidRDefault="00717582" w:rsidP="00C936F2">
    <w:pPr>
      <w:tabs>
        <w:tab w:val="center" w:pos="4536"/>
        <w:tab w:val="right" w:pos="9072"/>
      </w:tabs>
    </w:pPr>
    <w:r w:rsidRPr="002F215F"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45C794EA" wp14:editId="14A8B119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19" name="Rovná spojnic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C6EB482" id="Rovná spojnica 19" o:spid="_x0000_s1026" style="position:absolute;flip:y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" strokecolor="#4f81bd" strokeweight="3pt">
              <v:shadow on="t" color="black" opacity="22937f" origin=",.5" offset="0,.63889mm"/>
            </v:line>
          </w:pict>
        </mc:Fallback>
      </mc:AlternateContent>
    </w:r>
  </w:p>
  <w:p w:rsidR="00717582" w:rsidRDefault="00717582" w:rsidP="00C936F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82" w:rsidRPr="00956BAD" w:rsidRDefault="00717582" w:rsidP="00C936F2">
    <w:pPr>
      <w:tabs>
        <w:tab w:val="center" w:pos="4536"/>
        <w:tab w:val="right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82" w:rsidRPr="00CF60E2" w:rsidRDefault="00717582" w:rsidP="007E18FA">
    <w:pPr>
      <w:tabs>
        <w:tab w:val="center" w:pos="4536"/>
        <w:tab w:val="right" w:pos="9072"/>
      </w:tabs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111DD709" wp14:editId="40CF3C5A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957682E" id="Rovná spojnica 20" o:spid="_x0000_s1026" style="position:absolute;flip:y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" strokecolor="#4f81bd" strokeweight="3pt">
              <v:shadow on="t" color="black" opacity="22937f" origin=",.5" offset="0,.63889mm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82" w:rsidRPr="00CF60E2" w:rsidRDefault="00717582" w:rsidP="007E18FA">
    <w:pPr>
      <w:tabs>
        <w:tab w:val="center" w:pos="4536"/>
        <w:tab w:val="right" w:pos="9072"/>
      </w:tabs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2D77CCF6" wp14:editId="67FECD6F">
              <wp:simplePos x="0" y="0"/>
              <wp:positionH relativeFrom="column">
                <wp:posOffset>-4445</wp:posOffset>
              </wp:positionH>
              <wp:positionV relativeFrom="paragraph">
                <wp:posOffset>131445</wp:posOffset>
              </wp:positionV>
              <wp:extent cx="8915400" cy="9526"/>
              <wp:effectExtent l="57150" t="38100" r="57150" b="85725"/>
              <wp:wrapNone/>
              <wp:docPr id="24" name="Rovná spojnica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15400" cy="9526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4ACD0F" id="Rovná spojnica 24" o:spid="_x0000_s1026" style="position:absolute;flip:y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0.35pt" to="701.6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" strokecolor="#4f81bd" strokeweight="3pt">
              <v:shadow on="t" color="black" opacity="22937f" origin=",.5" offset="0,.63889mm"/>
            </v:line>
          </w:pict>
        </mc:Fallback>
      </mc:AlternateContent>
    </w:r>
  </w:p>
  <w:sdt>
    <w:sdtPr>
      <w:rPr>
        <w:szCs w:val="20"/>
      </w:rPr>
      <w:id w:val="-995188481"/>
      <w:showingPlcHdr/>
      <w:date w:fullDate="2015-08-27T00:00:00Z">
        <w:dateFormat w:val="dd.MM.yyyy"/>
        <w:lid w:val="sk-SK"/>
        <w:storeMappedDataAs w:val="dateTime"/>
        <w:calendar w:val="gregorian"/>
      </w:date>
    </w:sdtPr>
    <w:sdtEndPr/>
    <w:sdtContent>
      <w:p w:rsidR="00717582" w:rsidRPr="00CF60E2" w:rsidRDefault="00717582" w:rsidP="007E18FA">
        <w:pPr>
          <w:tabs>
            <w:tab w:val="center" w:pos="4536"/>
            <w:tab w:val="right" w:pos="9072"/>
          </w:tabs>
          <w:jc w:val="right"/>
        </w:pPr>
        <w:r>
          <w:rPr>
            <w:szCs w:val="20"/>
          </w:rPr>
          <w:t xml:space="preserve">     </w:t>
        </w:r>
      </w:p>
    </w:sdtContent>
  </w:sdt>
  <w:p w:rsidR="00717582" w:rsidRDefault="00717582" w:rsidP="007E18FA">
    <w:pPr>
      <w:pStyle w:val="Hlavika"/>
    </w:pPr>
    <w:r w:rsidRPr="00956BAD" w:rsidDel="002F215F">
      <w:rPr>
        <w:noProof/>
      </w:rPr>
      <w:t xml:space="preserve"> </w:t>
    </w:r>
    <w:r w:rsidRPr="00CF60E2">
      <w:rPr>
        <w:noProof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82" w:rsidRPr="002F215F" w:rsidRDefault="00717582" w:rsidP="007E18FA">
    <w:pPr>
      <w:tabs>
        <w:tab w:val="center" w:pos="4536"/>
        <w:tab w:val="right" w:pos="9072"/>
      </w:tabs>
    </w:pPr>
    <w:r w:rsidRPr="002F215F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115ED1C9" wp14:editId="7DA2C556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69" name="Rovná spojnica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500985" id="Rovná spojnica 69" o:spid="_x0000_s1026" style="position:absolute;flip:y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" strokecolor="#4f81bd" strokeweight="3pt">
              <v:shadow on="t" color="black" opacity="22937f" origin=",.5" offset="0,.63889mm"/>
            </v:line>
          </w:pict>
        </mc:Fallback>
      </mc:AlternateContent>
    </w:r>
  </w:p>
  <w:p w:rsidR="00717582" w:rsidRDefault="00717582" w:rsidP="007E18FA">
    <w:pPr>
      <w:tabs>
        <w:tab w:val="center" w:pos="4536"/>
        <w:tab w:val="right" w:pos="9072"/>
      </w:tabs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582" w:rsidRPr="00CF60E2" w:rsidRDefault="00717582" w:rsidP="007E18FA">
    <w:pPr>
      <w:tabs>
        <w:tab w:val="center" w:pos="4536"/>
        <w:tab w:val="right" w:pos="9072"/>
      </w:tabs>
    </w:pPr>
    <w:r w:rsidRPr="00CF60E2"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31966359" wp14:editId="716E2A9D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86" name="Rovná spojnica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0D0417" id="Rovná spojnica 86" o:spid="_x0000_s1026" style="position:absolute;flip:y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" strokecolor="#4f81bd" strokeweight="3pt">
              <v:shadow on="t" color="black" opacity="22937f" origin=",.5" offset="0,.63889mm"/>
            </v:line>
          </w:pict>
        </mc:Fallback>
      </mc:AlternateContent>
    </w:r>
  </w:p>
  <w:p w:rsidR="00717582" w:rsidRDefault="00717582" w:rsidP="007E18FA">
    <w:pPr>
      <w:tabs>
        <w:tab w:val="center" w:pos="4536"/>
        <w:tab w:val="right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C23B20"/>
    <w:name w:val="0.6863323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12627"/>
    <w:multiLevelType w:val="hybridMultilevel"/>
    <w:tmpl w:val="D8FA87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07816"/>
    <w:multiLevelType w:val="hybridMultilevel"/>
    <w:tmpl w:val="5BB00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9431C"/>
    <w:multiLevelType w:val="hybridMultilevel"/>
    <w:tmpl w:val="BA40BD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CAF"/>
    <w:multiLevelType w:val="hybridMultilevel"/>
    <w:tmpl w:val="19F2C1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788" w:hanging="708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671"/>
    <w:multiLevelType w:val="hybridMultilevel"/>
    <w:tmpl w:val="3776F1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34714"/>
    <w:multiLevelType w:val="hybridMultilevel"/>
    <w:tmpl w:val="55D429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F674F"/>
    <w:multiLevelType w:val="hybridMultilevel"/>
    <w:tmpl w:val="3C3C29FC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B361B8"/>
    <w:multiLevelType w:val="hybridMultilevel"/>
    <w:tmpl w:val="0242FF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8419F"/>
    <w:multiLevelType w:val="hybridMultilevel"/>
    <w:tmpl w:val="4F0E1A9A"/>
    <w:lvl w:ilvl="0" w:tplc="10586EC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2577B3"/>
    <w:multiLevelType w:val="hybridMultilevel"/>
    <w:tmpl w:val="6C00DE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C6F74"/>
    <w:multiLevelType w:val="hybridMultilevel"/>
    <w:tmpl w:val="1EB2E850"/>
    <w:lvl w:ilvl="0" w:tplc="041B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DCD3F08"/>
    <w:multiLevelType w:val="hybridMultilevel"/>
    <w:tmpl w:val="2BF2289E"/>
    <w:lvl w:ilvl="0" w:tplc="041B0017">
      <w:start w:val="1"/>
      <w:numFmt w:val="lowerLetter"/>
      <w:lvlText w:val="%1)"/>
      <w:lvlJc w:val="left"/>
      <w:pPr>
        <w:ind w:left="4046" w:hanging="360"/>
      </w:pPr>
    </w:lvl>
    <w:lvl w:ilvl="1" w:tplc="041B0019" w:tentative="1">
      <w:start w:val="1"/>
      <w:numFmt w:val="lowerLetter"/>
      <w:lvlText w:val="%2."/>
      <w:lvlJc w:val="left"/>
      <w:pPr>
        <w:ind w:left="4766" w:hanging="360"/>
      </w:pPr>
    </w:lvl>
    <w:lvl w:ilvl="2" w:tplc="041B001B" w:tentative="1">
      <w:start w:val="1"/>
      <w:numFmt w:val="lowerRoman"/>
      <w:lvlText w:val="%3."/>
      <w:lvlJc w:val="right"/>
      <w:pPr>
        <w:ind w:left="5486" w:hanging="180"/>
      </w:pPr>
    </w:lvl>
    <w:lvl w:ilvl="3" w:tplc="041B000F" w:tentative="1">
      <w:start w:val="1"/>
      <w:numFmt w:val="decimal"/>
      <w:lvlText w:val="%4."/>
      <w:lvlJc w:val="left"/>
      <w:pPr>
        <w:ind w:left="6206" w:hanging="360"/>
      </w:pPr>
    </w:lvl>
    <w:lvl w:ilvl="4" w:tplc="041B0019" w:tentative="1">
      <w:start w:val="1"/>
      <w:numFmt w:val="lowerLetter"/>
      <w:lvlText w:val="%5."/>
      <w:lvlJc w:val="left"/>
      <w:pPr>
        <w:ind w:left="6926" w:hanging="360"/>
      </w:pPr>
    </w:lvl>
    <w:lvl w:ilvl="5" w:tplc="041B001B" w:tentative="1">
      <w:start w:val="1"/>
      <w:numFmt w:val="lowerRoman"/>
      <w:lvlText w:val="%6."/>
      <w:lvlJc w:val="right"/>
      <w:pPr>
        <w:ind w:left="7646" w:hanging="180"/>
      </w:pPr>
    </w:lvl>
    <w:lvl w:ilvl="6" w:tplc="041B000F" w:tentative="1">
      <w:start w:val="1"/>
      <w:numFmt w:val="decimal"/>
      <w:lvlText w:val="%7."/>
      <w:lvlJc w:val="left"/>
      <w:pPr>
        <w:ind w:left="8366" w:hanging="360"/>
      </w:pPr>
    </w:lvl>
    <w:lvl w:ilvl="7" w:tplc="041B0019" w:tentative="1">
      <w:start w:val="1"/>
      <w:numFmt w:val="lowerLetter"/>
      <w:lvlText w:val="%8."/>
      <w:lvlJc w:val="left"/>
      <w:pPr>
        <w:ind w:left="9086" w:hanging="360"/>
      </w:pPr>
    </w:lvl>
    <w:lvl w:ilvl="8" w:tplc="041B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 w15:restartNumberingAfterBreak="0">
    <w:nsid w:val="2F307946"/>
    <w:multiLevelType w:val="multilevel"/>
    <w:tmpl w:val="9306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1163D7"/>
    <w:multiLevelType w:val="hybridMultilevel"/>
    <w:tmpl w:val="ED02FBB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72F7C"/>
    <w:multiLevelType w:val="hybridMultilevel"/>
    <w:tmpl w:val="B6682ECC"/>
    <w:lvl w:ilvl="0" w:tplc="041B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D4C4800"/>
    <w:multiLevelType w:val="hybridMultilevel"/>
    <w:tmpl w:val="291E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93558"/>
    <w:multiLevelType w:val="hybridMultilevel"/>
    <w:tmpl w:val="610A2A08"/>
    <w:lvl w:ilvl="0" w:tplc="08AE4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309FB"/>
    <w:multiLevelType w:val="hybridMultilevel"/>
    <w:tmpl w:val="610A2A08"/>
    <w:lvl w:ilvl="0" w:tplc="08AE4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226F0"/>
    <w:multiLevelType w:val="hybridMultilevel"/>
    <w:tmpl w:val="E428834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05058"/>
    <w:multiLevelType w:val="hybridMultilevel"/>
    <w:tmpl w:val="09F08A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A49E3"/>
    <w:multiLevelType w:val="hybridMultilevel"/>
    <w:tmpl w:val="B4CECF0A"/>
    <w:lvl w:ilvl="0" w:tplc="10586E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81DDA"/>
    <w:multiLevelType w:val="multilevel"/>
    <w:tmpl w:val="D578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184606"/>
    <w:multiLevelType w:val="hybridMultilevel"/>
    <w:tmpl w:val="363881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F71D2"/>
    <w:multiLevelType w:val="hybridMultilevel"/>
    <w:tmpl w:val="2E4091C2"/>
    <w:lvl w:ilvl="0" w:tplc="6F58102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1079E"/>
    <w:multiLevelType w:val="hybridMultilevel"/>
    <w:tmpl w:val="D1740CA0"/>
    <w:lvl w:ilvl="0" w:tplc="F0964666">
      <w:numFmt w:val="bullet"/>
      <w:lvlText w:val="-"/>
      <w:lvlJc w:val="left"/>
      <w:pPr>
        <w:ind w:left="720" w:hanging="360"/>
      </w:pPr>
      <w:rPr>
        <w:rFonts w:ascii="Cambria" w:eastAsiaTheme="minorEastAsia" w:hAnsi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115C6"/>
    <w:multiLevelType w:val="hybridMultilevel"/>
    <w:tmpl w:val="431273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63C03"/>
    <w:multiLevelType w:val="hybridMultilevel"/>
    <w:tmpl w:val="86448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A66F0"/>
    <w:multiLevelType w:val="hybridMultilevel"/>
    <w:tmpl w:val="E62CDE08"/>
    <w:lvl w:ilvl="0" w:tplc="6F58102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2"/>
  </w:num>
  <w:num w:numId="4">
    <w:abstractNumId w:val="19"/>
  </w:num>
  <w:num w:numId="5">
    <w:abstractNumId w:val="4"/>
  </w:num>
  <w:num w:numId="6">
    <w:abstractNumId w:val="11"/>
  </w:num>
  <w:num w:numId="7">
    <w:abstractNumId w:val="15"/>
  </w:num>
  <w:num w:numId="8">
    <w:abstractNumId w:val="3"/>
  </w:num>
  <w:num w:numId="9">
    <w:abstractNumId w:val="20"/>
  </w:num>
  <w:num w:numId="10">
    <w:abstractNumId w:val="28"/>
  </w:num>
  <w:num w:numId="11">
    <w:abstractNumId w:val="21"/>
  </w:num>
  <w:num w:numId="12">
    <w:abstractNumId w:val="16"/>
  </w:num>
  <w:num w:numId="13">
    <w:abstractNumId w:val="1"/>
  </w:num>
  <w:num w:numId="14">
    <w:abstractNumId w:val="29"/>
  </w:num>
  <w:num w:numId="15">
    <w:abstractNumId w:val="24"/>
  </w:num>
  <w:num w:numId="16">
    <w:abstractNumId w:val="8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3"/>
  </w:num>
  <w:num w:numId="20">
    <w:abstractNumId w:val="2"/>
  </w:num>
  <w:num w:numId="21">
    <w:abstractNumId w:val="5"/>
  </w:num>
  <w:num w:numId="22">
    <w:abstractNumId w:val="9"/>
  </w:num>
  <w:num w:numId="23">
    <w:abstractNumId w:val="6"/>
  </w:num>
  <w:num w:numId="24">
    <w:abstractNumId w:val="7"/>
  </w:num>
  <w:num w:numId="25">
    <w:abstractNumId w:val="14"/>
  </w:num>
  <w:num w:numId="26">
    <w:abstractNumId w:val="13"/>
  </w:num>
  <w:num w:numId="27">
    <w:abstractNumId w:val="22"/>
  </w:num>
  <w:num w:numId="28">
    <w:abstractNumId w:val="18"/>
  </w:num>
  <w:num w:numId="29">
    <w:abstractNumId w:val="17"/>
  </w:num>
  <w:num w:numId="3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ED"/>
    <w:rsid w:val="00000477"/>
    <w:rsid w:val="00005115"/>
    <w:rsid w:val="00016BDF"/>
    <w:rsid w:val="00020028"/>
    <w:rsid w:val="00020032"/>
    <w:rsid w:val="00021103"/>
    <w:rsid w:val="000215FB"/>
    <w:rsid w:val="00023DC9"/>
    <w:rsid w:val="0002526E"/>
    <w:rsid w:val="00026BE4"/>
    <w:rsid w:val="00034B83"/>
    <w:rsid w:val="0004113F"/>
    <w:rsid w:val="000420E4"/>
    <w:rsid w:val="000421BF"/>
    <w:rsid w:val="00043111"/>
    <w:rsid w:val="00046C9F"/>
    <w:rsid w:val="00047F7D"/>
    <w:rsid w:val="00050245"/>
    <w:rsid w:val="00054B34"/>
    <w:rsid w:val="00057061"/>
    <w:rsid w:val="0006188A"/>
    <w:rsid w:val="00063FEB"/>
    <w:rsid w:val="0006546E"/>
    <w:rsid w:val="00065EE5"/>
    <w:rsid w:val="0006692B"/>
    <w:rsid w:val="00070273"/>
    <w:rsid w:val="000704A6"/>
    <w:rsid w:val="00071C14"/>
    <w:rsid w:val="00073F44"/>
    <w:rsid w:val="00075586"/>
    <w:rsid w:val="00076FE1"/>
    <w:rsid w:val="0007731E"/>
    <w:rsid w:val="000811AF"/>
    <w:rsid w:val="00083A84"/>
    <w:rsid w:val="000843CB"/>
    <w:rsid w:val="00084CB6"/>
    <w:rsid w:val="000853FB"/>
    <w:rsid w:val="00085BA7"/>
    <w:rsid w:val="00086BC6"/>
    <w:rsid w:val="00086EE8"/>
    <w:rsid w:val="00087513"/>
    <w:rsid w:val="00090796"/>
    <w:rsid w:val="00090A83"/>
    <w:rsid w:val="000938CF"/>
    <w:rsid w:val="000979ED"/>
    <w:rsid w:val="000A10EB"/>
    <w:rsid w:val="000A46E2"/>
    <w:rsid w:val="000A61BB"/>
    <w:rsid w:val="000A7F22"/>
    <w:rsid w:val="000B1439"/>
    <w:rsid w:val="000B2AC0"/>
    <w:rsid w:val="000B388F"/>
    <w:rsid w:val="000B45FC"/>
    <w:rsid w:val="000B78BD"/>
    <w:rsid w:val="000C11B0"/>
    <w:rsid w:val="000C4388"/>
    <w:rsid w:val="000C6A09"/>
    <w:rsid w:val="000C7ADC"/>
    <w:rsid w:val="000D2759"/>
    <w:rsid w:val="000D287A"/>
    <w:rsid w:val="000D51FE"/>
    <w:rsid w:val="000E0A29"/>
    <w:rsid w:val="000E13B5"/>
    <w:rsid w:val="000E2616"/>
    <w:rsid w:val="000E36D0"/>
    <w:rsid w:val="000F39FD"/>
    <w:rsid w:val="000F3DC2"/>
    <w:rsid w:val="000F56B8"/>
    <w:rsid w:val="000F6BEA"/>
    <w:rsid w:val="000F7668"/>
    <w:rsid w:val="00101E57"/>
    <w:rsid w:val="00102335"/>
    <w:rsid w:val="001030D9"/>
    <w:rsid w:val="00103239"/>
    <w:rsid w:val="0010551A"/>
    <w:rsid w:val="001065A1"/>
    <w:rsid w:val="00110DC8"/>
    <w:rsid w:val="00111A92"/>
    <w:rsid w:val="0011558A"/>
    <w:rsid w:val="00115B3B"/>
    <w:rsid w:val="00116816"/>
    <w:rsid w:val="001225F7"/>
    <w:rsid w:val="00122CC9"/>
    <w:rsid w:val="00124D4F"/>
    <w:rsid w:val="001305BA"/>
    <w:rsid w:val="001339AF"/>
    <w:rsid w:val="00143E25"/>
    <w:rsid w:val="00144E26"/>
    <w:rsid w:val="00150E32"/>
    <w:rsid w:val="00153B82"/>
    <w:rsid w:val="00154D9D"/>
    <w:rsid w:val="00160574"/>
    <w:rsid w:val="00163C09"/>
    <w:rsid w:val="00166E0B"/>
    <w:rsid w:val="00170427"/>
    <w:rsid w:val="00171FDB"/>
    <w:rsid w:val="00175EDC"/>
    <w:rsid w:val="00177D15"/>
    <w:rsid w:val="001809B3"/>
    <w:rsid w:val="00181227"/>
    <w:rsid w:val="00181B29"/>
    <w:rsid w:val="00192784"/>
    <w:rsid w:val="00192C2B"/>
    <w:rsid w:val="0019550C"/>
    <w:rsid w:val="001A04D5"/>
    <w:rsid w:val="001A1649"/>
    <w:rsid w:val="001A3443"/>
    <w:rsid w:val="001A5C86"/>
    <w:rsid w:val="001A78CF"/>
    <w:rsid w:val="001D40C5"/>
    <w:rsid w:val="001D460F"/>
    <w:rsid w:val="001D62CF"/>
    <w:rsid w:val="001D6BEB"/>
    <w:rsid w:val="001E0F1B"/>
    <w:rsid w:val="001E3609"/>
    <w:rsid w:val="001E42CA"/>
    <w:rsid w:val="001E569F"/>
    <w:rsid w:val="001E6966"/>
    <w:rsid w:val="001E7D6A"/>
    <w:rsid w:val="001F18EB"/>
    <w:rsid w:val="001F41E1"/>
    <w:rsid w:val="001F4404"/>
    <w:rsid w:val="001F49EC"/>
    <w:rsid w:val="001F6CEB"/>
    <w:rsid w:val="002021A8"/>
    <w:rsid w:val="002039EC"/>
    <w:rsid w:val="00207544"/>
    <w:rsid w:val="00213AD3"/>
    <w:rsid w:val="00214154"/>
    <w:rsid w:val="00216BC7"/>
    <w:rsid w:val="002178FA"/>
    <w:rsid w:val="00220AA6"/>
    <w:rsid w:val="00222275"/>
    <w:rsid w:val="00223BB9"/>
    <w:rsid w:val="002251ED"/>
    <w:rsid w:val="00233DC1"/>
    <w:rsid w:val="00234AB3"/>
    <w:rsid w:val="00236D77"/>
    <w:rsid w:val="002420B2"/>
    <w:rsid w:val="00242469"/>
    <w:rsid w:val="0024478F"/>
    <w:rsid w:val="002447C5"/>
    <w:rsid w:val="002453EA"/>
    <w:rsid w:val="002517BC"/>
    <w:rsid w:val="00255631"/>
    <w:rsid w:val="00257723"/>
    <w:rsid w:val="00261DB2"/>
    <w:rsid w:val="00262224"/>
    <w:rsid w:val="00264E23"/>
    <w:rsid w:val="002660AD"/>
    <w:rsid w:val="0027451A"/>
    <w:rsid w:val="00281546"/>
    <w:rsid w:val="002877FA"/>
    <w:rsid w:val="002878A1"/>
    <w:rsid w:val="00290888"/>
    <w:rsid w:val="0029246F"/>
    <w:rsid w:val="00296137"/>
    <w:rsid w:val="0029794B"/>
    <w:rsid w:val="002A0462"/>
    <w:rsid w:val="002A4428"/>
    <w:rsid w:val="002A6AA9"/>
    <w:rsid w:val="002B26AC"/>
    <w:rsid w:val="002B4F90"/>
    <w:rsid w:val="002B5E4E"/>
    <w:rsid w:val="002C01B4"/>
    <w:rsid w:val="002C029E"/>
    <w:rsid w:val="002C201F"/>
    <w:rsid w:val="002C5C3F"/>
    <w:rsid w:val="002D620E"/>
    <w:rsid w:val="002E2ABC"/>
    <w:rsid w:val="002E5D80"/>
    <w:rsid w:val="002E6D13"/>
    <w:rsid w:val="002F2BEA"/>
    <w:rsid w:val="002F4666"/>
    <w:rsid w:val="00301B6D"/>
    <w:rsid w:val="003025BF"/>
    <w:rsid w:val="00304800"/>
    <w:rsid w:val="00306421"/>
    <w:rsid w:val="00306740"/>
    <w:rsid w:val="003121EC"/>
    <w:rsid w:val="00317458"/>
    <w:rsid w:val="00317E22"/>
    <w:rsid w:val="003207FF"/>
    <w:rsid w:val="00322FC6"/>
    <w:rsid w:val="003238EB"/>
    <w:rsid w:val="00323D1E"/>
    <w:rsid w:val="00324BC4"/>
    <w:rsid w:val="00327A7C"/>
    <w:rsid w:val="00330CF8"/>
    <w:rsid w:val="0033104E"/>
    <w:rsid w:val="0033154C"/>
    <w:rsid w:val="00337430"/>
    <w:rsid w:val="00340020"/>
    <w:rsid w:val="003427E7"/>
    <w:rsid w:val="00347236"/>
    <w:rsid w:val="00347C82"/>
    <w:rsid w:val="00353F0B"/>
    <w:rsid w:val="00360D64"/>
    <w:rsid w:val="003615FE"/>
    <w:rsid w:val="003626D2"/>
    <w:rsid w:val="00362DF3"/>
    <w:rsid w:val="003659E9"/>
    <w:rsid w:val="003675A3"/>
    <w:rsid w:val="003709E4"/>
    <w:rsid w:val="003710AF"/>
    <w:rsid w:val="0037154E"/>
    <w:rsid w:val="00377373"/>
    <w:rsid w:val="003809A3"/>
    <w:rsid w:val="00382B1B"/>
    <w:rsid w:val="00384262"/>
    <w:rsid w:val="003848BF"/>
    <w:rsid w:val="00384AFB"/>
    <w:rsid w:val="00385576"/>
    <w:rsid w:val="00385B1B"/>
    <w:rsid w:val="00386DF9"/>
    <w:rsid w:val="00387EC7"/>
    <w:rsid w:val="00395BFE"/>
    <w:rsid w:val="00397450"/>
    <w:rsid w:val="003A16BD"/>
    <w:rsid w:val="003A296B"/>
    <w:rsid w:val="003A5272"/>
    <w:rsid w:val="003A57B1"/>
    <w:rsid w:val="003A598E"/>
    <w:rsid w:val="003A7CAC"/>
    <w:rsid w:val="003B269D"/>
    <w:rsid w:val="003B39D3"/>
    <w:rsid w:val="003B68C0"/>
    <w:rsid w:val="003C1381"/>
    <w:rsid w:val="003C4BE9"/>
    <w:rsid w:val="003C7716"/>
    <w:rsid w:val="003D2845"/>
    <w:rsid w:val="003E06EA"/>
    <w:rsid w:val="003E18C2"/>
    <w:rsid w:val="003E1EBB"/>
    <w:rsid w:val="003F11C7"/>
    <w:rsid w:val="003F1766"/>
    <w:rsid w:val="003F18E4"/>
    <w:rsid w:val="003F38C8"/>
    <w:rsid w:val="00411C62"/>
    <w:rsid w:val="00413227"/>
    <w:rsid w:val="004170B1"/>
    <w:rsid w:val="00417478"/>
    <w:rsid w:val="00417727"/>
    <w:rsid w:val="0042148F"/>
    <w:rsid w:val="0042261A"/>
    <w:rsid w:val="004359A6"/>
    <w:rsid w:val="004372E7"/>
    <w:rsid w:val="004421F2"/>
    <w:rsid w:val="004438C6"/>
    <w:rsid w:val="00445D43"/>
    <w:rsid w:val="00447989"/>
    <w:rsid w:val="0045254F"/>
    <w:rsid w:val="0045451B"/>
    <w:rsid w:val="004637DD"/>
    <w:rsid w:val="00465880"/>
    <w:rsid w:val="00466540"/>
    <w:rsid w:val="00471CF0"/>
    <w:rsid w:val="00473466"/>
    <w:rsid w:val="00475618"/>
    <w:rsid w:val="0048380E"/>
    <w:rsid w:val="00485EF3"/>
    <w:rsid w:val="00486AEB"/>
    <w:rsid w:val="0049142B"/>
    <w:rsid w:val="0049162E"/>
    <w:rsid w:val="00491C5A"/>
    <w:rsid w:val="0049636D"/>
    <w:rsid w:val="00497ABB"/>
    <w:rsid w:val="004A0B10"/>
    <w:rsid w:val="004A0ED8"/>
    <w:rsid w:val="004A5692"/>
    <w:rsid w:val="004A59BC"/>
    <w:rsid w:val="004B05A0"/>
    <w:rsid w:val="004B1F56"/>
    <w:rsid w:val="004B2545"/>
    <w:rsid w:val="004B334C"/>
    <w:rsid w:val="004B4303"/>
    <w:rsid w:val="004B7284"/>
    <w:rsid w:val="004C5C37"/>
    <w:rsid w:val="004D1DB4"/>
    <w:rsid w:val="004D2376"/>
    <w:rsid w:val="004D24B8"/>
    <w:rsid w:val="004D66BF"/>
    <w:rsid w:val="004E4F94"/>
    <w:rsid w:val="004F2ADA"/>
    <w:rsid w:val="004F2BF4"/>
    <w:rsid w:val="0050469A"/>
    <w:rsid w:val="00507008"/>
    <w:rsid w:val="00511A24"/>
    <w:rsid w:val="005130A9"/>
    <w:rsid w:val="0051350C"/>
    <w:rsid w:val="005145BE"/>
    <w:rsid w:val="005159AE"/>
    <w:rsid w:val="00524FE0"/>
    <w:rsid w:val="00531F90"/>
    <w:rsid w:val="00532314"/>
    <w:rsid w:val="00533E9A"/>
    <w:rsid w:val="0053409D"/>
    <w:rsid w:val="00534CA9"/>
    <w:rsid w:val="00534F99"/>
    <w:rsid w:val="00537445"/>
    <w:rsid w:val="005401AA"/>
    <w:rsid w:val="00542440"/>
    <w:rsid w:val="005439ED"/>
    <w:rsid w:val="00543E2B"/>
    <w:rsid w:val="00545B7B"/>
    <w:rsid w:val="00547470"/>
    <w:rsid w:val="0055124A"/>
    <w:rsid w:val="00551F27"/>
    <w:rsid w:val="00556BDA"/>
    <w:rsid w:val="00560EEE"/>
    <w:rsid w:val="00561B90"/>
    <w:rsid w:val="00566819"/>
    <w:rsid w:val="00566E99"/>
    <w:rsid w:val="00567565"/>
    <w:rsid w:val="00574640"/>
    <w:rsid w:val="00576A3D"/>
    <w:rsid w:val="00576A72"/>
    <w:rsid w:val="0058222A"/>
    <w:rsid w:val="005865B1"/>
    <w:rsid w:val="005875EC"/>
    <w:rsid w:val="005926CF"/>
    <w:rsid w:val="00593155"/>
    <w:rsid w:val="00594D4A"/>
    <w:rsid w:val="00595952"/>
    <w:rsid w:val="00596439"/>
    <w:rsid w:val="005A2C8E"/>
    <w:rsid w:val="005A2E76"/>
    <w:rsid w:val="005A400A"/>
    <w:rsid w:val="005A5D2D"/>
    <w:rsid w:val="005A63B9"/>
    <w:rsid w:val="005A6907"/>
    <w:rsid w:val="005A72FE"/>
    <w:rsid w:val="005B5363"/>
    <w:rsid w:val="005C0649"/>
    <w:rsid w:val="005C0C70"/>
    <w:rsid w:val="005C465E"/>
    <w:rsid w:val="005D0908"/>
    <w:rsid w:val="005D093C"/>
    <w:rsid w:val="005D5E56"/>
    <w:rsid w:val="005E50E0"/>
    <w:rsid w:val="005E54BD"/>
    <w:rsid w:val="005E63D5"/>
    <w:rsid w:val="005F410E"/>
    <w:rsid w:val="005F430F"/>
    <w:rsid w:val="005F7351"/>
    <w:rsid w:val="005F7A79"/>
    <w:rsid w:val="005F7BCF"/>
    <w:rsid w:val="00602607"/>
    <w:rsid w:val="00602E6E"/>
    <w:rsid w:val="00604194"/>
    <w:rsid w:val="006110F4"/>
    <w:rsid w:val="00611AA4"/>
    <w:rsid w:val="006177E7"/>
    <w:rsid w:val="00617D97"/>
    <w:rsid w:val="006205EE"/>
    <w:rsid w:val="00620E45"/>
    <w:rsid w:val="00624C29"/>
    <w:rsid w:val="00625DE2"/>
    <w:rsid w:val="00633E29"/>
    <w:rsid w:val="00634A13"/>
    <w:rsid w:val="00634D82"/>
    <w:rsid w:val="00635164"/>
    <w:rsid w:val="00636412"/>
    <w:rsid w:val="006413A8"/>
    <w:rsid w:val="006416B2"/>
    <w:rsid w:val="006417C5"/>
    <w:rsid w:val="006500BA"/>
    <w:rsid w:val="00652B9D"/>
    <w:rsid w:val="00652FD5"/>
    <w:rsid w:val="00661D7B"/>
    <w:rsid w:val="00662E14"/>
    <w:rsid w:val="0067116F"/>
    <w:rsid w:val="006720F0"/>
    <w:rsid w:val="00672D82"/>
    <w:rsid w:val="00674438"/>
    <w:rsid w:val="00684277"/>
    <w:rsid w:val="006846A7"/>
    <w:rsid w:val="006856E0"/>
    <w:rsid w:val="00685E07"/>
    <w:rsid w:val="00686C51"/>
    <w:rsid w:val="00690741"/>
    <w:rsid w:val="00692AD7"/>
    <w:rsid w:val="00693B39"/>
    <w:rsid w:val="00693E9E"/>
    <w:rsid w:val="00695301"/>
    <w:rsid w:val="00696819"/>
    <w:rsid w:val="006A2A3F"/>
    <w:rsid w:val="006A2A87"/>
    <w:rsid w:val="006A6268"/>
    <w:rsid w:val="006A7505"/>
    <w:rsid w:val="006B03F0"/>
    <w:rsid w:val="006B1313"/>
    <w:rsid w:val="006B1CAE"/>
    <w:rsid w:val="006B6388"/>
    <w:rsid w:val="006B7678"/>
    <w:rsid w:val="006C1892"/>
    <w:rsid w:val="006C3810"/>
    <w:rsid w:val="006C4309"/>
    <w:rsid w:val="006C5140"/>
    <w:rsid w:val="006C6D76"/>
    <w:rsid w:val="006C75D6"/>
    <w:rsid w:val="006D1581"/>
    <w:rsid w:val="006D49C0"/>
    <w:rsid w:val="006D4B91"/>
    <w:rsid w:val="006D4C36"/>
    <w:rsid w:val="006D4E66"/>
    <w:rsid w:val="006E1760"/>
    <w:rsid w:val="006E2A7C"/>
    <w:rsid w:val="006E3170"/>
    <w:rsid w:val="006E37E5"/>
    <w:rsid w:val="006E5C0A"/>
    <w:rsid w:val="00702250"/>
    <w:rsid w:val="007067C3"/>
    <w:rsid w:val="007078B1"/>
    <w:rsid w:val="00710D36"/>
    <w:rsid w:val="00711C36"/>
    <w:rsid w:val="00714163"/>
    <w:rsid w:val="00715076"/>
    <w:rsid w:val="00717582"/>
    <w:rsid w:val="00720A72"/>
    <w:rsid w:val="00723EE0"/>
    <w:rsid w:val="00732E46"/>
    <w:rsid w:val="00732E7E"/>
    <w:rsid w:val="00735BBF"/>
    <w:rsid w:val="007447DD"/>
    <w:rsid w:val="0074735C"/>
    <w:rsid w:val="00752845"/>
    <w:rsid w:val="007531B1"/>
    <w:rsid w:val="007571D1"/>
    <w:rsid w:val="00757504"/>
    <w:rsid w:val="00760BD8"/>
    <w:rsid w:val="00761674"/>
    <w:rsid w:val="00762CC9"/>
    <w:rsid w:val="00765B83"/>
    <w:rsid w:val="00770942"/>
    <w:rsid w:val="007738C0"/>
    <w:rsid w:val="00775D65"/>
    <w:rsid w:val="007863B5"/>
    <w:rsid w:val="00793D08"/>
    <w:rsid w:val="007951FA"/>
    <w:rsid w:val="0079710C"/>
    <w:rsid w:val="00797499"/>
    <w:rsid w:val="00797CDA"/>
    <w:rsid w:val="007A48CA"/>
    <w:rsid w:val="007A6446"/>
    <w:rsid w:val="007A6CFE"/>
    <w:rsid w:val="007B00C5"/>
    <w:rsid w:val="007B58ED"/>
    <w:rsid w:val="007B62B1"/>
    <w:rsid w:val="007B7BAF"/>
    <w:rsid w:val="007C1745"/>
    <w:rsid w:val="007C609A"/>
    <w:rsid w:val="007D037A"/>
    <w:rsid w:val="007D2A0A"/>
    <w:rsid w:val="007D5614"/>
    <w:rsid w:val="007D59DC"/>
    <w:rsid w:val="007E18FA"/>
    <w:rsid w:val="007E1ED6"/>
    <w:rsid w:val="007E612F"/>
    <w:rsid w:val="007F0AD4"/>
    <w:rsid w:val="007F3787"/>
    <w:rsid w:val="007F64FE"/>
    <w:rsid w:val="007F71CE"/>
    <w:rsid w:val="00800AB3"/>
    <w:rsid w:val="00801A46"/>
    <w:rsid w:val="00803E5B"/>
    <w:rsid w:val="00804E70"/>
    <w:rsid w:val="008122C7"/>
    <w:rsid w:val="008140F2"/>
    <w:rsid w:val="00816B81"/>
    <w:rsid w:val="00816C09"/>
    <w:rsid w:val="00820C05"/>
    <w:rsid w:val="00821DCC"/>
    <w:rsid w:val="00822385"/>
    <w:rsid w:val="0082296E"/>
    <w:rsid w:val="00823510"/>
    <w:rsid w:val="00823CE9"/>
    <w:rsid w:val="00825B67"/>
    <w:rsid w:val="008341A9"/>
    <w:rsid w:val="00836F17"/>
    <w:rsid w:val="00837B9D"/>
    <w:rsid w:val="008415CE"/>
    <w:rsid w:val="0084296C"/>
    <w:rsid w:val="00843B9E"/>
    <w:rsid w:val="008454A5"/>
    <w:rsid w:val="00852AD6"/>
    <w:rsid w:val="00856DCB"/>
    <w:rsid w:val="00861872"/>
    <w:rsid w:val="00862A6B"/>
    <w:rsid w:val="00865EBF"/>
    <w:rsid w:val="00865FEE"/>
    <w:rsid w:val="0087130F"/>
    <w:rsid w:val="00874C46"/>
    <w:rsid w:val="00875B4A"/>
    <w:rsid w:val="00875E5C"/>
    <w:rsid w:val="008765FA"/>
    <w:rsid w:val="00880311"/>
    <w:rsid w:val="00882F34"/>
    <w:rsid w:val="008835BC"/>
    <w:rsid w:val="0088587B"/>
    <w:rsid w:val="008866E5"/>
    <w:rsid w:val="008903F6"/>
    <w:rsid w:val="0089172E"/>
    <w:rsid w:val="008917D5"/>
    <w:rsid w:val="00893705"/>
    <w:rsid w:val="008A1438"/>
    <w:rsid w:val="008A163B"/>
    <w:rsid w:val="008A277A"/>
    <w:rsid w:val="008B012F"/>
    <w:rsid w:val="008B6AC7"/>
    <w:rsid w:val="008C047C"/>
    <w:rsid w:val="008C1107"/>
    <w:rsid w:val="008C3A22"/>
    <w:rsid w:val="008D07A1"/>
    <w:rsid w:val="008D0B37"/>
    <w:rsid w:val="008D34AB"/>
    <w:rsid w:val="008D3FF9"/>
    <w:rsid w:val="008D7834"/>
    <w:rsid w:val="008D7C38"/>
    <w:rsid w:val="008F2C36"/>
    <w:rsid w:val="008F2CF2"/>
    <w:rsid w:val="008F614B"/>
    <w:rsid w:val="008F7021"/>
    <w:rsid w:val="009020AE"/>
    <w:rsid w:val="009021C3"/>
    <w:rsid w:val="0090295C"/>
    <w:rsid w:val="00902D6D"/>
    <w:rsid w:val="009039F6"/>
    <w:rsid w:val="00903CFC"/>
    <w:rsid w:val="00903F40"/>
    <w:rsid w:val="00911A4D"/>
    <w:rsid w:val="009168D8"/>
    <w:rsid w:val="009173EC"/>
    <w:rsid w:val="009221A3"/>
    <w:rsid w:val="009239B0"/>
    <w:rsid w:val="009263D7"/>
    <w:rsid w:val="00932F0E"/>
    <w:rsid w:val="00937F20"/>
    <w:rsid w:val="00940B8E"/>
    <w:rsid w:val="009432DA"/>
    <w:rsid w:val="0094349B"/>
    <w:rsid w:val="009435D6"/>
    <w:rsid w:val="009459FA"/>
    <w:rsid w:val="00945ED9"/>
    <w:rsid w:val="00952936"/>
    <w:rsid w:val="00955C08"/>
    <w:rsid w:val="00966C33"/>
    <w:rsid w:val="00970CAB"/>
    <w:rsid w:val="00971E0E"/>
    <w:rsid w:val="00974DBE"/>
    <w:rsid w:val="00980ACE"/>
    <w:rsid w:val="00982CE8"/>
    <w:rsid w:val="00983E7C"/>
    <w:rsid w:val="009844B5"/>
    <w:rsid w:val="0098553B"/>
    <w:rsid w:val="009859A4"/>
    <w:rsid w:val="009900B8"/>
    <w:rsid w:val="009917C9"/>
    <w:rsid w:val="00991EE5"/>
    <w:rsid w:val="009928F0"/>
    <w:rsid w:val="009935AB"/>
    <w:rsid w:val="00993B99"/>
    <w:rsid w:val="00993E4E"/>
    <w:rsid w:val="009A1D7F"/>
    <w:rsid w:val="009A5AA3"/>
    <w:rsid w:val="009A60D1"/>
    <w:rsid w:val="009B440B"/>
    <w:rsid w:val="009B635E"/>
    <w:rsid w:val="009C18C0"/>
    <w:rsid w:val="009C2783"/>
    <w:rsid w:val="009C2911"/>
    <w:rsid w:val="009C35FB"/>
    <w:rsid w:val="009C425F"/>
    <w:rsid w:val="009C5967"/>
    <w:rsid w:val="009C601D"/>
    <w:rsid w:val="009C75B3"/>
    <w:rsid w:val="009D4C12"/>
    <w:rsid w:val="009E14F4"/>
    <w:rsid w:val="009E2C21"/>
    <w:rsid w:val="009E3088"/>
    <w:rsid w:val="009E3485"/>
    <w:rsid w:val="009F091A"/>
    <w:rsid w:val="00A004F4"/>
    <w:rsid w:val="00A00781"/>
    <w:rsid w:val="00A008A0"/>
    <w:rsid w:val="00A008C3"/>
    <w:rsid w:val="00A01D86"/>
    <w:rsid w:val="00A039AC"/>
    <w:rsid w:val="00A043ED"/>
    <w:rsid w:val="00A059FC"/>
    <w:rsid w:val="00A0776B"/>
    <w:rsid w:val="00A07ECE"/>
    <w:rsid w:val="00A1107E"/>
    <w:rsid w:val="00A12C35"/>
    <w:rsid w:val="00A12CB4"/>
    <w:rsid w:val="00A15807"/>
    <w:rsid w:val="00A16C3E"/>
    <w:rsid w:val="00A16E28"/>
    <w:rsid w:val="00A170DD"/>
    <w:rsid w:val="00A17ACC"/>
    <w:rsid w:val="00A20BB3"/>
    <w:rsid w:val="00A2356F"/>
    <w:rsid w:val="00A2403A"/>
    <w:rsid w:val="00A26AF6"/>
    <w:rsid w:val="00A33D43"/>
    <w:rsid w:val="00A36BD8"/>
    <w:rsid w:val="00A37708"/>
    <w:rsid w:val="00A417E5"/>
    <w:rsid w:val="00A43048"/>
    <w:rsid w:val="00A43C6A"/>
    <w:rsid w:val="00A456D3"/>
    <w:rsid w:val="00A468DF"/>
    <w:rsid w:val="00A46F7A"/>
    <w:rsid w:val="00A47485"/>
    <w:rsid w:val="00A51268"/>
    <w:rsid w:val="00A552BF"/>
    <w:rsid w:val="00A60C19"/>
    <w:rsid w:val="00A61B08"/>
    <w:rsid w:val="00A61F50"/>
    <w:rsid w:val="00A638B5"/>
    <w:rsid w:val="00A63E2A"/>
    <w:rsid w:val="00A67E4B"/>
    <w:rsid w:val="00A71CD1"/>
    <w:rsid w:val="00A72C4B"/>
    <w:rsid w:val="00A746E7"/>
    <w:rsid w:val="00A77700"/>
    <w:rsid w:val="00A87AEF"/>
    <w:rsid w:val="00A90EFB"/>
    <w:rsid w:val="00A93C99"/>
    <w:rsid w:val="00AA5CDF"/>
    <w:rsid w:val="00AA771F"/>
    <w:rsid w:val="00AB05D1"/>
    <w:rsid w:val="00AB1309"/>
    <w:rsid w:val="00AB2256"/>
    <w:rsid w:val="00AB4300"/>
    <w:rsid w:val="00AB5613"/>
    <w:rsid w:val="00AB76C6"/>
    <w:rsid w:val="00AB77D8"/>
    <w:rsid w:val="00AC0CFA"/>
    <w:rsid w:val="00AC3CAD"/>
    <w:rsid w:val="00AC5668"/>
    <w:rsid w:val="00AC64E9"/>
    <w:rsid w:val="00AC7AF7"/>
    <w:rsid w:val="00AD1D7A"/>
    <w:rsid w:val="00AD390B"/>
    <w:rsid w:val="00AD3CAE"/>
    <w:rsid w:val="00AD4212"/>
    <w:rsid w:val="00AD7A9A"/>
    <w:rsid w:val="00AE0A8A"/>
    <w:rsid w:val="00AE0F8A"/>
    <w:rsid w:val="00AE4623"/>
    <w:rsid w:val="00AE61C4"/>
    <w:rsid w:val="00AF2812"/>
    <w:rsid w:val="00AF4A54"/>
    <w:rsid w:val="00AF53B6"/>
    <w:rsid w:val="00AF73D7"/>
    <w:rsid w:val="00AF7A86"/>
    <w:rsid w:val="00B006A1"/>
    <w:rsid w:val="00B0185D"/>
    <w:rsid w:val="00B02386"/>
    <w:rsid w:val="00B02726"/>
    <w:rsid w:val="00B05E9A"/>
    <w:rsid w:val="00B061FC"/>
    <w:rsid w:val="00B134ED"/>
    <w:rsid w:val="00B14FBE"/>
    <w:rsid w:val="00B17FAC"/>
    <w:rsid w:val="00B230B0"/>
    <w:rsid w:val="00B23682"/>
    <w:rsid w:val="00B27DDD"/>
    <w:rsid w:val="00B33B41"/>
    <w:rsid w:val="00B47467"/>
    <w:rsid w:val="00B54DD4"/>
    <w:rsid w:val="00B60100"/>
    <w:rsid w:val="00B615E9"/>
    <w:rsid w:val="00B62B8C"/>
    <w:rsid w:val="00B65AB2"/>
    <w:rsid w:val="00B72466"/>
    <w:rsid w:val="00B73340"/>
    <w:rsid w:val="00B74998"/>
    <w:rsid w:val="00B7679A"/>
    <w:rsid w:val="00B76E06"/>
    <w:rsid w:val="00B776C9"/>
    <w:rsid w:val="00B80B41"/>
    <w:rsid w:val="00B81D4A"/>
    <w:rsid w:val="00B86243"/>
    <w:rsid w:val="00B86536"/>
    <w:rsid w:val="00B86CA8"/>
    <w:rsid w:val="00B872FC"/>
    <w:rsid w:val="00B87590"/>
    <w:rsid w:val="00B917F1"/>
    <w:rsid w:val="00B92A09"/>
    <w:rsid w:val="00B96C3C"/>
    <w:rsid w:val="00BA78FB"/>
    <w:rsid w:val="00BA7C66"/>
    <w:rsid w:val="00BB091A"/>
    <w:rsid w:val="00BB4875"/>
    <w:rsid w:val="00BB5C08"/>
    <w:rsid w:val="00BB6EED"/>
    <w:rsid w:val="00BC1C56"/>
    <w:rsid w:val="00BC6377"/>
    <w:rsid w:val="00BC6919"/>
    <w:rsid w:val="00BC6952"/>
    <w:rsid w:val="00BD1015"/>
    <w:rsid w:val="00BD1069"/>
    <w:rsid w:val="00BD3AD8"/>
    <w:rsid w:val="00BD7702"/>
    <w:rsid w:val="00BE10B3"/>
    <w:rsid w:val="00BE3681"/>
    <w:rsid w:val="00BE38B9"/>
    <w:rsid w:val="00BE5344"/>
    <w:rsid w:val="00BE7B39"/>
    <w:rsid w:val="00BF057D"/>
    <w:rsid w:val="00BF1FE1"/>
    <w:rsid w:val="00C0096C"/>
    <w:rsid w:val="00C01488"/>
    <w:rsid w:val="00C05A45"/>
    <w:rsid w:val="00C06CDB"/>
    <w:rsid w:val="00C1215F"/>
    <w:rsid w:val="00C12345"/>
    <w:rsid w:val="00C2110E"/>
    <w:rsid w:val="00C22014"/>
    <w:rsid w:val="00C42E42"/>
    <w:rsid w:val="00C4340D"/>
    <w:rsid w:val="00C446BB"/>
    <w:rsid w:val="00C5388D"/>
    <w:rsid w:val="00C53EF4"/>
    <w:rsid w:val="00C552E1"/>
    <w:rsid w:val="00C55C4C"/>
    <w:rsid w:val="00C55E7A"/>
    <w:rsid w:val="00C61924"/>
    <w:rsid w:val="00C6548C"/>
    <w:rsid w:val="00C67DAB"/>
    <w:rsid w:val="00C71A3F"/>
    <w:rsid w:val="00C726EB"/>
    <w:rsid w:val="00C72A5A"/>
    <w:rsid w:val="00C72AEB"/>
    <w:rsid w:val="00C775C3"/>
    <w:rsid w:val="00C82E0A"/>
    <w:rsid w:val="00C830FC"/>
    <w:rsid w:val="00C8469B"/>
    <w:rsid w:val="00C9154A"/>
    <w:rsid w:val="00C9185D"/>
    <w:rsid w:val="00C936F2"/>
    <w:rsid w:val="00CA005C"/>
    <w:rsid w:val="00CA36E7"/>
    <w:rsid w:val="00CA58FB"/>
    <w:rsid w:val="00CB069F"/>
    <w:rsid w:val="00CB104E"/>
    <w:rsid w:val="00CB183E"/>
    <w:rsid w:val="00CB1B4E"/>
    <w:rsid w:val="00CB28E2"/>
    <w:rsid w:val="00CB2933"/>
    <w:rsid w:val="00CB3C53"/>
    <w:rsid w:val="00CB4493"/>
    <w:rsid w:val="00CB5E92"/>
    <w:rsid w:val="00CB6D6C"/>
    <w:rsid w:val="00CC37AC"/>
    <w:rsid w:val="00CC5717"/>
    <w:rsid w:val="00CC6D23"/>
    <w:rsid w:val="00CD0307"/>
    <w:rsid w:val="00CD0830"/>
    <w:rsid w:val="00CD41BB"/>
    <w:rsid w:val="00CD44C6"/>
    <w:rsid w:val="00CD5E76"/>
    <w:rsid w:val="00CE1CD3"/>
    <w:rsid w:val="00CE27B8"/>
    <w:rsid w:val="00CE61CD"/>
    <w:rsid w:val="00CE6858"/>
    <w:rsid w:val="00CE6FFF"/>
    <w:rsid w:val="00CE7567"/>
    <w:rsid w:val="00CF0CF3"/>
    <w:rsid w:val="00CF2B9C"/>
    <w:rsid w:val="00CF2E0E"/>
    <w:rsid w:val="00CF2E93"/>
    <w:rsid w:val="00CF3674"/>
    <w:rsid w:val="00CF3BC2"/>
    <w:rsid w:val="00CF6741"/>
    <w:rsid w:val="00D04A3E"/>
    <w:rsid w:val="00D062EB"/>
    <w:rsid w:val="00D106E7"/>
    <w:rsid w:val="00D11894"/>
    <w:rsid w:val="00D126E5"/>
    <w:rsid w:val="00D1482E"/>
    <w:rsid w:val="00D16F31"/>
    <w:rsid w:val="00D17221"/>
    <w:rsid w:val="00D22AAE"/>
    <w:rsid w:val="00D24EB2"/>
    <w:rsid w:val="00D27D6A"/>
    <w:rsid w:val="00D27E76"/>
    <w:rsid w:val="00D3199D"/>
    <w:rsid w:val="00D3283E"/>
    <w:rsid w:val="00D33453"/>
    <w:rsid w:val="00D35BDC"/>
    <w:rsid w:val="00D37C19"/>
    <w:rsid w:val="00D40FDF"/>
    <w:rsid w:val="00D436BC"/>
    <w:rsid w:val="00D443AC"/>
    <w:rsid w:val="00D44B1F"/>
    <w:rsid w:val="00D44FAD"/>
    <w:rsid w:val="00D45DE4"/>
    <w:rsid w:val="00D46F6B"/>
    <w:rsid w:val="00D479C7"/>
    <w:rsid w:val="00D5518A"/>
    <w:rsid w:val="00D553CF"/>
    <w:rsid w:val="00D55989"/>
    <w:rsid w:val="00D564AA"/>
    <w:rsid w:val="00D569D4"/>
    <w:rsid w:val="00D621CF"/>
    <w:rsid w:val="00D63931"/>
    <w:rsid w:val="00D63FF5"/>
    <w:rsid w:val="00D700DF"/>
    <w:rsid w:val="00D70251"/>
    <w:rsid w:val="00D724CE"/>
    <w:rsid w:val="00D73D12"/>
    <w:rsid w:val="00D811D0"/>
    <w:rsid w:val="00D85AF8"/>
    <w:rsid w:val="00D862D5"/>
    <w:rsid w:val="00D863DA"/>
    <w:rsid w:val="00D8745D"/>
    <w:rsid w:val="00D87E0A"/>
    <w:rsid w:val="00D91138"/>
    <w:rsid w:val="00D9119D"/>
    <w:rsid w:val="00D94275"/>
    <w:rsid w:val="00D94877"/>
    <w:rsid w:val="00D94AD7"/>
    <w:rsid w:val="00D96D78"/>
    <w:rsid w:val="00DA291E"/>
    <w:rsid w:val="00DA6C1B"/>
    <w:rsid w:val="00DA70B1"/>
    <w:rsid w:val="00DA76FC"/>
    <w:rsid w:val="00DB2D74"/>
    <w:rsid w:val="00DB78B7"/>
    <w:rsid w:val="00DC0EED"/>
    <w:rsid w:val="00DC6AB4"/>
    <w:rsid w:val="00DC7849"/>
    <w:rsid w:val="00DD0F32"/>
    <w:rsid w:val="00DD48FB"/>
    <w:rsid w:val="00DD6C24"/>
    <w:rsid w:val="00DE1882"/>
    <w:rsid w:val="00DE2014"/>
    <w:rsid w:val="00DE3418"/>
    <w:rsid w:val="00DE4B5C"/>
    <w:rsid w:val="00DE4F1B"/>
    <w:rsid w:val="00DE567C"/>
    <w:rsid w:val="00DF0808"/>
    <w:rsid w:val="00DF3372"/>
    <w:rsid w:val="00DF423F"/>
    <w:rsid w:val="00E01CA2"/>
    <w:rsid w:val="00E069D4"/>
    <w:rsid w:val="00E16A89"/>
    <w:rsid w:val="00E23195"/>
    <w:rsid w:val="00E2433E"/>
    <w:rsid w:val="00E24F1A"/>
    <w:rsid w:val="00E277C1"/>
    <w:rsid w:val="00E35543"/>
    <w:rsid w:val="00E3559C"/>
    <w:rsid w:val="00E35F16"/>
    <w:rsid w:val="00E40541"/>
    <w:rsid w:val="00E4393B"/>
    <w:rsid w:val="00E43C3C"/>
    <w:rsid w:val="00E43C3D"/>
    <w:rsid w:val="00E43DF2"/>
    <w:rsid w:val="00E43F1C"/>
    <w:rsid w:val="00E44475"/>
    <w:rsid w:val="00E473A9"/>
    <w:rsid w:val="00E501D7"/>
    <w:rsid w:val="00E50435"/>
    <w:rsid w:val="00E51BDF"/>
    <w:rsid w:val="00E53D43"/>
    <w:rsid w:val="00E5489A"/>
    <w:rsid w:val="00E54B9B"/>
    <w:rsid w:val="00E56039"/>
    <w:rsid w:val="00E56FA8"/>
    <w:rsid w:val="00E57A6B"/>
    <w:rsid w:val="00E60D7E"/>
    <w:rsid w:val="00E613BD"/>
    <w:rsid w:val="00E6533E"/>
    <w:rsid w:val="00E6577F"/>
    <w:rsid w:val="00E658D0"/>
    <w:rsid w:val="00E76A87"/>
    <w:rsid w:val="00E814B2"/>
    <w:rsid w:val="00E826F5"/>
    <w:rsid w:val="00E833EE"/>
    <w:rsid w:val="00E87545"/>
    <w:rsid w:val="00E87D37"/>
    <w:rsid w:val="00E9160E"/>
    <w:rsid w:val="00E91EF9"/>
    <w:rsid w:val="00E93495"/>
    <w:rsid w:val="00E93568"/>
    <w:rsid w:val="00E94221"/>
    <w:rsid w:val="00E9736F"/>
    <w:rsid w:val="00E97999"/>
    <w:rsid w:val="00EA0387"/>
    <w:rsid w:val="00EA2B28"/>
    <w:rsid w:val="00EA2D7A"/>
    <w:rsid w:val="00EA4B35"/>
    <w:rsid w:val="00EA5511"/>
    <w:rsid w:val="00EB1B75"/>
    <w:rsid w:val="00EB2AC3"/>
    <w:rsid w:val="00EB4FE5"/>
    <w:rsid w:val="00EC236A"/>
    <w:rsid w:val="00EC4476"/>
    <w:rsid w:val="00EC46D9"/>
    <w:rsid w:val="00EC4C5F"/>
    <w:rsid w:val="00EC5136"/>
    <w:rsid w:val="00EC7764"/>
    <w:rsid w:val="00ED7889"/>
    <w:rsid w:val="00EE0BD9"/>
    <w:rsid w:val="00EE130D"/>
    <w:rsid w:val="00EE30BF"/>
    <w:rsid w:val="00EE3929"/>
    <w:rsid w:val="00EE5665"/>
    <w:rsid w:val="00EE694E"/>
    <w:rsid w:val="00EF0E71"/>
    <w:rsid w:val="00EF14DF"/>
    <w:rsid w:val="00EF3C4A"/>
    <w:rsid w:val="00EF49E2"/>
    <w:rsid w:val="00EF5B34"/>
    <w:rsid w:val="00EF6796"/>
    <w:rsid w:val="00EF76A3"/>
    <w:rsid w:val="00F000F8"/>
    <w:rsid w:val="00F0278B"/>
    <w:rsid w:val="00F030C5"/>
    <w:rsid w:val="00F03854"/>
    <w:rsid w:val="00F038C9"/>
    <w:rsid w:val="00F12532"/>
    <w:rsid w:val="00F135EA"/>
    <w:rsid w:val="00F15F29"/>
    <w:rsid w:val="00F20EC9"/>
    <w:rsid w:val="00F21A54"/>
    <w:rsid w:val="00F26D32"/>
    <w:rsid w:val="00F273DC"/>
    <w:rsid w:val="00F3323B"/>
    <w:rsid w:val="00F34A82"/>
    <w:rsid w:val="00F362DC"/>
    <w:rsid w:val="00F36DC2"/>
    <w:rsid w:val="00F378FA"/>
    <w:rsid w:val="00F42F42"/>
    <w:rsid w:val="00F528FF"/>
    <w:rsid w:val="00F5375B"/>
    <w:rsid w:val="00F54895"/>
    <w:rsid w:val="00F553EE"/>
    <w:rsid w:val="00F62B5B"/>
    <w:rsid w:val="00F63175"/>
    <w:rsid w:val="00F63FEA"/>
    <w:rsid w:val="00F74094"/>
    <w:rsid w:val="00F771F1"/>
    <w:rsid w:val="00F77F2A"/>
    <w:rsid w:val="00F90012"/>
    <w:rsid w:val="00F97063"/>
    <w:rsid w:val="00FA20A9"/>
    <w:rsid w:val="00FA31DC"/>
    <w:rsid w:val="00FA4FA0"/>
    <w:rsid w:val="00FA7F00"/>
    <w:rsid w:val="00FB036B"/>
    <w:rsid w:val="00FB0E7D"/>
    <w:rsid w:val="00FB39B4"/>
    <w:rsid w:val="00FB4D15"/>
    <w:rsid w:val="00FB604E"/>
    <w:rsid w:val="00FC0A8F"/>
    <w:rsid w:val="00FC12B4"/>
    <w:rsid w:val="00FC2F0A"/>
    <w:rsid w:val="00FC6C9F"/>
    <w:rsid w:val="00FD297D"/>
    <w:rsid w:val="00FD3293"/>
    <w:rsid w:val="00FD54CE"/>
    <w:rsid w:val="00FE0B7D"/>
    <w:rsid w:val="00FE314F"/>
    <w:rsid w:val="00FE400C"/>
    <w:rsid w:val="00FE4D76"/>
    <w:rsid w:val="00FF08E2"/>
    <w:rsid w:val="00FF28D6"/>
    <w:rsid w:val="00FF40F6"/>
    <w:rsid w:val="00FF4D54"/>
    <w:rsid w:val="00FF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664D98-DF71-4C91-B654-42B398AA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58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B58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58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B58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B58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B58ED"/>
    <w:pPr>
      <w:keepNext/>
      <w:keepLines/>
      <w:spacing w:before="200" w:line="276" w:lineRule="auto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58ED"/>
    <w:pPr>
      <w:keepNext/>
      <w:keepLines/>
      <w:spacing w:before="200" w:line="276" w:lineRule="auto"/>
      <w:ind w:left="43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B58ED"/>
    <w:pPr>
      <w:keepNext/>
      <w:keepLines/>
      <w:spacing w:before="200" w:line="276" w:lineRule="auto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B58ED"/>
    <w:pPr>
      <w:keepNext/>
      <w:keepLines/>
      <w:spacing w:before="200" w:line="276" w:lineRule="auto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5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B5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B58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7B58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B58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B5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B5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B58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B5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7B58E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58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8ED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semiHidden/>
    <w:unhideWhenUsed/>
    <w:rsid w:val="007B58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58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58E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58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58E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B58ED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7B58ED"/>
    <w:pPr>
      <w:spacing w:after="100"/>
    </w:pPr>
  </w:style>
  <w:style w:type="paragraph" w:styleId="Hlavika">
    <w:name w:val="header"/>
    <w:basedOn w:val="Normlny"/>
    <w:link w:val="HlavikaChar"/>
    <w:unhideWhenUsed/>
    <w:rsid w:val="007B58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B5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B58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58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Text poznámky pod èiarou 007"/>
    <w:basedOn w:val="Normlny"/>
    <w:link w:val="TextpoznmkypodiarouChar"/>
    <w:uiPriority w:val="99"/>
    <w:unhideWhenUsed/>
    <w:rsid w:val="007B58ED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"/>
    <w:basedOn w:val="Predvolenpsmoodseku"/>
    <w:link w:val="Textpoznmkypodiarou"/>
    <w:uiPriority w:val="99"/>
    <w:rsid w:val="007B58E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7B58ED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7B58ED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7B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7B58ED"/>
    <w:rPr>
      <w:color w:val="808080"/>
    </w:rPr>
  </w:style>
  <w:style w:type="paragraph" w:customStyle="1" w:styleId="MPCKO1">
    <w:name w:val="MP CKO 1"/>
    <w:basedOn w:val="Nadpis2"/>
    <w:next w:val="Normlny"/>
    <w:qFormat/>
    <w:rsid w:val="007B58ED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7B58ED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7B58ED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7B58ED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7B58ED"/>
    <w:pPr>
      <w:numPr>
        <w:numId w:val="1"/>
      </w:numPr>
      <w:spacing w:before="200" w:after="200"/>
      <w:ind w:left="714" w:hanging="357"/>
      <w:contextualSpacing/>
      <w:jc w:val="both"/>
    </w:pPr>
  </w:style>
  <w:style w:type="paragraph" w:styleId="Hlavikaobsahu">
    <w:name w:val="TOC Heading"/>
    <w:basedOn w:val="Nadpis1"/>
    <w:next w:val="Normlny"/>
    <w:uiPriority w:val="39"/>
    <w:unhideWhenUsed/>
    <w:qFormat/>
    <w:rsid w:val="007B58ED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E43DF2"/>
    <w:pPr>
      <w:tabs>
        <w:tab w:val="right" w:leader="dot" w:pos="9062"/>
      </w:tabs>
      <w:spacing w:after="100"/>
      <w:ind w:left="240"/>
    </w:pPr>
    <w:rPr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rsid w:val="009C5967"/>
    <w:pPr>
      <w:tabs>
        <w:tab w:val="right" w:leader="dot" w:pos="9062"/>
      </w:tabs>
      <w:spacing w:after="100"/>
      <w:ind w:left="284"/>
    </w:pPr>
  </w:style>
  <w:style w:type="paragraph" w:styleId="Obsah4">
    <w:name w:val="toc 4"/>
    <w:basedOn w:val="Normlny"/>
    <w:next w:val="Normlny"/>
    <w:autoRedefine/>
    <w:uiPriority w:val="39"/>
    <w:unhideWhenUsed/>
    <w:rsid w:val="002251ED"/>
    <w:pPr>
      <w:keepNext/>
      <w:tabs>
        <w:tab w:val="right" w:leader="dot" w:pos="9062"/>
      </w:tabs>
      <w:spacing w:after="100"/>
      <w:ind w:left="1134" w:hanging="414"/>
    </w:pPr>
    <w:rPr>
      <w:noProof/>
      <w:shd w:val="clear" w:color="auto" w:fill="FFFFFF" w:themeFill="background1"/>
    </w:rPr>
  </w:style>
  <w:style w:type="paragraph" w:styleId="Obsah5">
    <w:name w:val="toc 5"/>
    <w:basedOn w:val="Normlny"/>
    <w:next w:val="Normlny"/>
    <w:autoRedefine/>
    <w:uiPriority w:val="39"/>
    <w:unhideWhenUsed/>
    <w:rsid w:val="007B58ED"/>
    <w:pPr>
      <w:tabs>
        <w:tab w:val="right" w:leader="dot" w:pos="9062"/>
      </w:tabs>
      <w:spacing w:after="100"/>
      <w:ind w:left="1843" w:hanging="567"/>
    </w:pPr>
  </w:style>
  <w:style w:type="paragraph" w:customStyle="1" w:styleId="Default">
    <w:name w:val="Default"/>
    <w:rsid w:val="007B58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7B58ED"/>
  </w:style>
  <w:style w:type="paragraph" w:customStyle="1" w:styleId="HeaderLandscape">
    <w:name w:val="HeaderLandscape"/>
    <w:basedOn w:val="Normlny"/>
    <w:rsid w:val="007B58ED"/>
    <w:pPr>
      <w:tabs>
        <w:tab w:val="center" w:pos="7285"/>
        <w:tab w:val="right" w:pos="14003"/>
      </w:tabs>
      <w:spacing w:after="120"/>
      <w:jc w:val="both"/>
    </w:pPr>
    <w:rPr>
      <w:rFonts w:eastAsia="Calibri"/>
      <w:szCs w:val="20"/>
      <w:lang w:val="en-GB" w:eastAsia="en-GB"/>
    </w:rPr>
  </w:style>
  <w:style w:type="paragraph" w:customStyle="1" w:styleId="FooterLandscape">
    <w:name w:val="FooterLandscape"/>
    <w:basedOn w:val="Normlny"/>
    <w:rsid w:val="007B58ED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eastAsia="Calibri"/>
      <w:szCs w:val="20"/>
      <w:lang w:val="en-GB" w:eastAsia="en-GB"/>
    </w:rPr>
  </w:style>
  <w:style w:type="character" w:customStyle="1" w:styleId="hps">
    <w:name w:val="hps"/>
    <w:basedOn w:val="Predvolenpsmoodseku"/>
    <w:rsid w:val="007B58ED"/>
  </w:style>
  <w:style w:type="paragraph" w:styleId="Zoznamsodrkami">
    <w:name w:val="List Bullet"/>
    <w:basedOn w:val="Normlny"/>
    <w:unhideWhenUsed/>
    <w:rsid w:val="007B58ED"/>
    <w:pPr>
      <w:numPr>
        <w:numId w:val="2"/>
      </w:numPr>
      <w:spacing w:before="120" w:after="120"/>
      <w:contextualSpacing/>
      <w:jc w:val="both"/>
    </w:pPr>
    <w:rPr>
      <w:rFonts w:eastAsia="Calibri"/>
      <w:szCs w:val="20"/>
      <w:lang w:val="en-GB" w:eastAsia="en-GB"/>
    </w:rPr>
  </w:style>
  <w:style w:type="character" w:customStyle="1" w:styleId="Text1Char">
    <w:name w:val="Text 1 Char"/>
    <w:link w:val="Text1"/>
    <w:locked/>
    <w:rsid w:val="007B58ED"/>
    <w:rPr>
      <w:rFonts w:ascii="Times New Roman" w:hAnsi="Times New Roman"/>
      <w:sz w:val="24"/>
    </w:rPr>
  </w:style>
  <w:style w:type="paragraph" w:customStyle="1" w:styleId="Text1">
    <w:name w:val="Text 1"/>
    <w:basedOn w:val="Normlny"/>
    <w:link w:val="Text1Char"/>
    <w:rsid w:val="007B58ED"/>
    <w:pPr>
      <w:spacing w:before="120" w:after="120"/>
      <w:ind w:left="850"/>
      <w:jc w:val="both"/>
    </w:pPr>
    <w:rPr>
      <w:rFonts w:eastAsiaTheme="minorHAnsi" w:cstheme="minorBidi"/>
      <w:szCs w:val="22"/>
      <w:lang w:eastAsia="en-US"/>
    </w:rPr>
  </w:style>
  <w:style w:type="table" w:customStyle="1" w:styleId="Deloittetable3111">
    <w:name w:val="Deloitte table 3111"/>
    <w:basedOn w:val="Normlnatabuka"/>
    <w:uiPriority w:val="59"/>
    <w:rsid w:val="007B58ED"/>
    <w:pPr>
      <w:spacing w:after="0" w:line="240" w:lineRule="auto"/>
    </w:pPr>
    <w:rPr>
      <w:rFonts w:eastAsiaTheme="minorEastAs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B5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0551A"/>
    <w:rPr>
      <w:b/>
      <w:bCs/>
    </w:rPr>
  </w:style>
  <w:style w:type="paragraph" w:customStyle="1" w:styleId="CharCharCharCharCharCharCharCharCharCharChar1CharCharCharCharCharChar">
    <w:name w:val="Char Char Char Char Char Char Char Char Char Char Char1 Char Char Char Char Char Char"/>
    <w:basedOn w:val="Normlny"/>
    <w:rsid w:val="009B635E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normal2">
    <w:name w:val="normal2"/>
    <w:basedOn w:val="Normlny"/>
    <w:rsid w:val="008835BC"/>
    <w:pPr>
      <w:spacing w:before="120" w:line="312" w:lineRule="atLeast"/>
      <w:jc w:val="both"/>
    </w:pPr>
  </w:style>
  <w:style w:type="character" w:customStyle="1" w:styleId="st1">
    <w:name w:val="st1"/>
    <w:basedOn w:val="Predvolenpsmoodseku"/>
    <w:rsid w:val="00DD6C24"/>
  </w:style>
  <w:style w:type="table" w:customStyle="1" w:styleId="Mriekatabuky1">
    <w:name w:val="Mriežka tabuľky1"/>
    <w:basedOn w:val="Normlnatabuka"/>
    <w:next w:val="Mriekatabuky"/>
    <w:uiPriority w:val="39"/>
    <w:rsid w:val="00F553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6914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39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65360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39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1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984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yperlink" Target="http://www.partnerskadohoda.gov.sk/data/files/165_system-riadenia-esif-verzia-2.zip" TargetMode="External"/><Relationship Id="rId39" Type="http://schemas.openxmlformats.org/officeDocument/2006/relationships/hyperlink" Target="http://www.uvo.gov.sk/verejny-obstaravatel-obstaravatel/portal-systemu-evo--37d.html" TargetMode="External"/><Relationship Id="rId21" Type="http://schemas.openxmlformats.org/officeDocument/2006/relationships/hyperlink" Target="http://isdv.fri.uniza.sk/CourseDetail.aspx?moduleId=26750" TargetMode="External"/><Relationship Id="rId34" Type="http://schemas.openxmlformats.org/officeDocument/2006/relationships/hyperlink" Target="http://www.crz.gov.sk/index.php?ID=1956635&amp;l=sk" TargetMode="External"/><Relationship Id="rId42" Type="http://schemas.openxmlformats.org/officeDocument/2006/relationships/hyperlink" Target="http://www.optp.vlada.gov.sk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9" Type="http://schemas.openxmlformats.org/officeDocument/2006/relationships/hyperlink" Target="http://www.uvo.gov.sk/informacny-servis/skolenia-uradu/skolenia-uradu-4a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partnerskadohoda.gov.sk/data/att/54.zip" TargetMode="External"/><Relationship Id="rId32" Type="http://schemas.openxmlformats.org/officeDocument/2006/relationships/hyperlink" Target="http://www.partnerskadohoda.gov.sk/mp-cko-c-21-verzia-2-informacia-o-stave-administrativnych-kapacit-subjektov-zapojenych-do-implementacie-riadenia-a-kontroly-europskych-strukturalnych-a-investicnych-fondov/" TargetMode="External"/><Relationship Id="rId37" Type="http://schemas.openxmlformats.org/officeDocument/2006/relationships/hyperlink" Target="http://www.partnerskadohoda.gov.sk/data/files/110_operacny_program_technicka_pomoc_2014_2020.pdf" TargetMode="External"/><Relationship Id="rId40" Type="http://schemas.openxmlformats.org/officeDocument/2006/relationships/hyperlink" Target="http://www.uvo.gov.sk/informacny-servis/skolenia-uradu/skolenia-uradu-4a3.html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yperlink" Target="https://www.slov-lex.sk/pravne-predpisy/-/SK/ZZ/2015/343/20160418" TargetMode="External"/><Relationship Id="rId28" Type="http://schemas.openxmlformats.org/officeDocument/2006/relationships/hyperlink" Target="https://www.uvo.gov.sk/informacny-servis/koordinacny-vybor-394.html" TargetMode="External"/><Relationship Id="rId36" Type="http://schemas.openxmlformats.org/officeDocument/2006/relationships/hyperlink" Target="http://www.partnerskadohoda.gov.sk/data/files/110_operacny_program_technicka_pomoc_2014_2020.pdf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31" Type="http://schemas.openxmlformats.org/officeDocument/2006/relationships/hyperlink" Target="http://www.nsrr.sk/download.php?FNAME=1407919938.upl&amp;ANAME=Analysis_AC_and_efficiency_of_entities_responsible_for_the_ESIF_and_of_AC_of_beneficiaries_EJ.rar" TargetMode="External"/><Relationship Id="rId44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yperlink" Target="http://isdv.fri.uniza.sk/CourseDetail.aspx?moduleId=26746" TargetMode="External"/><Relationship Id="rId27" Type="http://schemas.openxmlformats.org/officeDocument/2006/relationships/hyperlink" Target="http://www.partnerskadohoda.gov.sk/data/att/115.zip" TargetMode="External"/><Relationship Id="rId30" Type="http://schemas.openxmlformats.org/officeDocument/2006/relationships/hyperlink" Target="https://www.uvo.gov.sk/legislativametodika-dohlad/zakon-o-verejnom-obstaravani-c-3432015-z-z/prezentacne-videa-55a.html" TargetMode="External"/><Relationship Id="rId35" Type="http://schemas.openxmlformats.org/officeDocument/2006/relationships/hyperlink" Target="http://www.crz.gov.sk/index.php?ID=1963464&amp;l=sk" TargetMode="External"/><Relationship Id="rId43" Type="http://schemas.openxmlformats.org/officeDocument/2006/relationships/header" Target="header6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www.optp.vlada.gov.sk/operacny-program-technicka-pomoc-na-obdobie-2014-2020/" TargetMode="External"/><Relationship Id="rId25" Type="http://schemas.openxmlformats.org/officeDocument/2006/relationships/hyperlink" Target="http://www.partnerskadohoda.gov.sk/zakazky-v-hodnote-nad-5-000-eur%20/" TargetMode="External"/><Relationship Id="rId33" Type="http://schemas.openxmlformats.org/officeDocument/2006/relationships/hyperlink" Target="http://www.rokovania.sk/File.aspx/ViewDocumentHtml/Uznesenie-14744?prefixFile=u" TargetMode="External"/><Relationship Id="rId38" Type="http://schemas.openxmlformats.org/officeDocument/2006/relationships/hyperlink" Target="http://www.uvo.gov.sk/legislativametodika-dohlad-2ab.html" TargetMode="External"/><Relationship Id="rId46" Type="http://schemas.openxmlformats.org/officeDocument/2006/relationships/theme" Target="theme/theme1.xml"/><Relationship Id="rId20" Type="http://schemas.openxmlformats.org/officeDocument/2006/relationships/footer" Target="footer4.xml"/><Relationship Id="rId41" Type="http://schemas.openxmlformats.org/officeDocument/2006/relationships/hyperlink" Target="http://www.statnapomoc.sk/wp-content/uploads/2015/12/Zakon-c-358-2015.pdf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93301-ACB0-44E8-9995-3E8A8D19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14385</Words>
  <Characters>81998</Characters>
  <Application>Microsoft Office Word</Application>
  <DocSecurity>0</DocSecurity>
  <Lines>683</Lines>
  <Paragraphs>192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Šušlíková Mária</cp:lastModifiedBy>
  <cp:revision>3</cp:revision>
  <cp:lastPrinted>2016-05-31T13:10:00Z</cp:lastPrinted>
  <dcterms:created xsi:type="dcterms:W3CDTF">2017-09-08T07:39:00Z</dcterms:created>
  <dcterms:modified xsi:type="dcterms:W3CDTF">2017-09-08T07:39:00Z</dcterms:modified>
</cp:coreProperties>
</file>