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13D" w:rsidRPr="0000013D" w:rsidRDefault="0000013D" w:rsidP="0000013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013D">
        <w:rPr>
          <w:rFonts w:ascii="Times New Roman" w:hAnsi="Times New Roman" w:cs="Times New Roman"/>
          <w:b/>
          <w:sz w:val="24"/>
          <w:szCs w:val="24"/>
        </w:rPr>
        <w:t>Názov národného projektu: Podpora štátnej správy pri prijímaní a okamžitej pomoci utečencom v súvislosti s ozbrojeným konfliktom na území Ukrajiny</w:t>
      </w:r>
    </w:p>
    <w:p w:rsidR="0000013D" w:rsidRPr="0000013D" w:rsidRDefault="0000013D" w:rsidP="0000013D">
      <w:pPr>
        <w:rPr>
          <w:rFonts w:ascii="Times New Roman" w:hAnsi="Times New Roman" w:cs="Times New Roman"/>
        </w:rPr>
      </w:pPr>
    </w:p>
    <w:p w:rsidR="0000013D" w:rsidRPr="0000013D" w:rsidRDefault="0000013D" w:rsidP="0000013D">
      <w:pPr>
        <w:pStyle w:val="Odsekzoznamu"/>
        <w:numPr>
          <w:ilvl w:val="0"/>
          <w:numId w:val="2"/>
        </w:numPr>
        <w:ind w:left="284" w:hanging="284"/>
        <w:jc w:val="both"/>
      </w:pPr>
      <w:r w:rsidRPr="0000013D">
        <w:t xml:space="preserve">Zdôvodnite čo najpodrobnejšie prečo nemôže byť projekt realizovaný prostredníctvom výzvy na predkladanie žiadostí o NFP? </w:t>
      </w:r>
    </w:p>
    <w:p w:rsidR="0000013D" w:rsidRPr="0000013D" w:rsidRDefault="0000013D" w:rsidP="0000013D">
      <w:pPr>
        <w:jc w:val="both"/>
        <w:rPr>
          <w:rFonts w:ascii="Times New Roman" w:hAnsi="Times New Roman" w:cs="Times New Roman"/>
        </w:rPr>
      </w:pPr>
    </w:p>
    <w:p w:rsidR="0000013D" w:rsidRPr="0000013D" w:rsidRDefault="0000013D" w:rsidP="0000013D">
      <w:pPr>
        <w:ind w:left="284"/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Ruská agresia na Ukrajine vyhnala z domovov desaťtisíce ľudí, mnohí z nich utekajú aj na Slovensko. Núdzová podpora ľuďom utekajúcim pred inváziou Ruska na Ukrajine zasiahla rôzne oblasti štátu.</w:t>
      </w:r>
    </w:p>
    <w:p w:rsidR="0000013D" w:rsidRPr="0000013D" w:rsidRDefault="0000013D" w:rsidP="0000013D">
      <w:pPr>
        <w:ind w:left="284"/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Závažné negatívne účinky na hospodárstvo Slovenska a spoločnosť ako takú zanechala už aj pandémia COVID-19. Avšak súčasná vojenská agresia Ruskej federácie a z nej vyplývajúce migračné toky uvedené účinky ešte zhoršili a hrozí, že ešte viac oslabia oživenie hospodárstva Slovenskej republiky, ale taktiež celej EÚ.</w:t>
      </w:r>
    </w:p>
    <w:p w:rsidR="0000013D" w:rsidRPr="0000013D" w:rsidRDefault="0000013D" w:rsidP="0000013D">
      <w:pPr>
        <w:ind w:left="284"/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Národným projektom sa snažíme reflektovať a reagovať na vzniknutú krízovú situáciu s cieľom znížiť záťaž verejných rozpočtov a pomôcť ľuďom, ktorí utekajú pred vojnou na Ukrajine.</w:t>
      </w:r>
    </w:p>
    <w:p w:rsidR="0000013D" w:rsidRPr="0000013D" w:rsidRDefault="0000013D" w:rsidP="0000013D">
      <w:pPr>
        <w:ind w:left="284"/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 xml:space="preserve">Cieľom projektu je pokryť náklady súvisiace s rýchlou reakciou sektorov štátu na potreby skupiny utečencov s dočasným útočiskom, ktorí prišli na Slovensko v období marec – november 2022. </w:t>
      </w:r>
      <w:r w:rsidR="00EF6538">
        <w:rPr>
          <w:rFonts w:ascii="Times New Roman" w:hAnsi="Times New Roman" w:cs="Times New Roman"/>
        </w:rPr>
        <w:t>Uvedený cieľ sa zabezpečí</w:t>
      </w:r>
      <w:r w:rsidRPr="0000013D">
        <w:rPr>
          <w:rFonts w:ascii="Times New Roman" w:hAnsi="Times New Roman" w:cs="Times New Roman"/>
        </w:rPr>
        <w:t xml:space="preserve"> </w:t>
      </w:r>
      <w:r w:rsidR="00EF6538" w:rsidRPr="0000013D">
        <w:rPr>
          <w:rFonts w:ascii="Times New Roman" w:hAnsi="Times New Roman" w:cs="Times New Roman"/>
        </w:rPr>
        <w:t>financovan</w:t>
      </w:r>
      <w:r w:rsidR="00EF6538">
        <w:rPr>
          <w:rFonts w:ascii="Times New Roman" w:hAnsi="Times New Roman" w:cs="Times New Roman"/>
        </w:rPr>
        <w:t>ím</w:t>
      </w:r>
      <w:r w:rsidR="00EF6538" w:rsidRPr="0000013D">
        <w:rPr>
          <w:rFonts w:ascii="Times New Roman" w:hAnsi="Times New Roman" w:cs="Times New Roman"/>
        </w:rPr>
        <w:t xml:space="preserve"> oprávnených výdavkov štátnej správy za registrovaných utečencov žijúcich mimo obcí SR podľa článku 68c nariadenia Európskeho parlamentu a Rady (EÚ) č. 1303/2013 zo 17. decembra 2013</w:t>
      </w:r>
      <w:r w:rsidR="001869CF">
        <w:rPr>
          <w:rFonts w:ascii="Times New Roman" w:hAnsi="Times New Roman" w:cs="Times New Roman"/>
        </w:rPr>
        <w:t xml:space="preserve"> v znení neskorších úprav.</w:t>
      </w:r>
    </w:p>
    <w:p w:rsidR="0000013D" w:rsidRPr="0000013D" w:rsidRDefault="0000013D" w:rsidP="0000013D">
      <w:pPr>
        <w:ind w:left="284"/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 xml:space="preserve">Národným projektom budú financované náklady, ktoré vznikli v súvislosti s realizovanými opatreniami, ktoré pomohli pri poskytovaní núdzovej podpory pokrývajúcej základné potreby ľudí utekajúcich pred ruskou inváziou na Ukrajine. Medzi tieto potreby patrí prístup k službám, ako je dočasné ubytovanie, dodávky potravín a vody či zdravotnícka starostlivosť. </w:t>
      </w:r>
    </w:p>
    <w:p w:rsidR="0000013D" w:rsidRPr="0000013D" w:rsidRDefault="0000013D" w:rsidP="0000013D">
      <w:pPr>
        <w:ind w:left="284"/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Podpora formou národného projektu predstavuje v porovnaní s podporou formou dopytovo orientovanej výzvy významnú výhodu pre prijímateľa vo forme zníženia administratívneho bremena (jedno konanie o žiadosti a implementácia jedného projektu, zníženie realizačnej náročnosti a odstránenie otázky finančnej spoluúčasti na realizácii projektu). Výhodou je však predovšetkým rýchle a hromadné zabezpečenie toho, aby bola pomoc ľuďom utekajúcim pred inváziou Ruska prístupná.</w:t>
      </w:r>
    </w:p>
    <w:p w:rsidR="0000013D" w:rsidRPr="0000013D" w:rsidRDefault="0000013D" w:rsidP="0000013D">
      <w:pPr>
        <w:ind w:left="284"/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Implementácia projektu bude prebiehať v rámci celej SR, preto je možné tento projekt realizovať ako národný projekt.</w:t>
      </w:r>
    </w:p>
    <w:p w:rsidR="0000013D" w:rsidRDefault="0000013D" w:rsidP="0000013D">
      <w:pPr>
        <w:ind w:left="284"/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Ďalšími, nie menej dôležitými, faktormi realizácie projektu formou národného projektu je charakter aktivít, vecné zameranie projektu, geografický rozmer a dopad na celé územie Slovenskej republiky.</w:t>
      </w:r>
    </w:p>
    <w:p w:rsidR="0091026C" w:rsidRPr="0000013D" w:rsidRDefault="0091026C" w:rsidP="0091026C">
      <w:pPr>
        <w:ind w:left="284"/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Národný projekt je efektívnejším nástrojom realizácie centrálne riadených aktivít projektu a znamená nižšiu administratívnu náročnosť pre zapojené subjekty. Predkladanie žiadostí o poskytnutie finančných príspevkov, žiadostí o úhradu platby, ich dokladovanie (vrátane refundácie/financovania finančných prostriedkov), je jednoduchšie a realizované v kratších časových intervaloch.</w:t>
      </w:r>
    </w:p>
    <w:p w:rsidR="0000013D" w:rsidRPr="0000013D" w:rsidRDefault="0000013D" w:rsidP="0000013D">
      <w:pPr>
        <w:ind w:left="284"/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V rámci národného projektu sa bude uplatňovať aj zjednodušené vykazovanie výdavkov vo výške 100 Eur/osoba/týždeň v súlade s článkom 68c) a štandardná stupnica jednotkových nákladov podľa čl. 67 ods. 1 písm. b) nariadenia EP a Rady (EÚ) č. 1303/2013.</w:t>
      </w:r>
    </w:p>
    <w:p w:rsidR="0000013D" w:rsidRPr="0000013D" w:rsidRDefault="0000013D" w:rsidP="0000013D">
      <w:pPr>
        <w:ind w:left="284"/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 xml:space="preserve">Prijímateľom projektu bude Ministerstvo investícií, regionálneho rozvoja a informatizácie Slovenskej republiky (ďalej MIRRI SR) (Sekcia ekonomiky a projektov EŠIF – odbor koordinácie </w:t>
      </w:r>
      <w:r w:rsidRPr="0000013D">
        <w:rPr>
          <w:rFonts w:ascii="Times New Roman" w:hAnsi="Times New Roman" w:cs="Times New Roman"/>
        </w:rPr>
        <w:lastRenderedPageBreak/>
        <w:t xml:space="preserve">projektov EŠIF) vzhľadom na to, že rámcové aktivity zahrnuté v projekte pokrývajú viacero rezortov a príslušný útvar MIRRI SR plynule implementuje projekty IROP (technická pomoc, regionálne centrá). MIRRI SR (Sekcia ekonomiky a projektov EŠIF – odbor koordinácie projektov EŠIF) ako orgán štátnej správy disponuje odbornými kapacitami a skúsenosťami v rámci implementácie projektov EŠIF. </w:t>
      </w:r>
    </w:p>
    <w:p w:rsidR="0000013D" w:rsidRPr="0000013D" w:rsidRDefault="0000013D" w:rsidP="0000013D">
      <w:pPr>
        <w:ind w:left="284"/>
        <w:jc w:val="both"/>
        <w:rPr>
          <w:rFonts w:ascii="Times New Roman" w:hAnsi="Times New Roman" w:cs="Times New Roman"/>
        </w:rPr>
      </w:pPr>
    </w:p>
    <w:p w:rsidR="0000013D" w:rsidRPr="0000013D" w:rsidRDefault="0000013D" w:rsidP="0000013D">
      <w:pPr>
        <w:pStyle w:val="Odsekzoznamu"/>
        <w:numPr>
          <w:ilvl w:val="0"/>
          <w:numId w:val="2"/>
        </w:numPr>
        <w:ind w:left="284" w:hanging="284"/>
        <w:jc w:val="both"/>
      </w:pPr>
      <w:r w:rsidRPr="0000013D">
        <w:rPr>
          <w:rFonts w:eastAsia="Calibri"/>
          <w:bCs/>
          <w:iCs/>
        </w:rPr>
        <w:t>Príslušnosť národného projektu k relevantnej časti operačného programu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Prioritná os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9. FAST-CARE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Investičná priorita 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9.1 Podpora operácií zameraných na riešenie migračných výziev spôsobených ruskou agresiou voči Ukrajine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Špecifický cieľ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9.1. Riešenie migračných výziev v dôsledku vojenskej agresie voči Ukrajine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Miesto realizácie projektu (na úrovni kraja)</w:t>
            </w:r>
          </w:p>
        </w:tc>
        <w:tc>
          <w:tcPr>
            <w:tcW w:w="5239" w:type="dxa"/>
          </w:tcPr>
          <w:p w:rsidR="0000013D" w:rsidRPr="0000013D" w:rsidRDefault="00715229" w:rsidP="00F06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Celé územie SR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Identifikácia hlavných cieľových skupín (ak relevantné)</w:t>
            </w:r>
          </w:p>
        </w:tc>
        <w:tc>
          <w:tcPr>
            <w:tcW w:w="5239" w:type="dxa"/>
          </w:tcPr>
          <w:p w:rsidR="0000013D" w:rsidRPr="0000013D" w:rsidRDefault="00715229" w:rsidP="00EC4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</w:t>
            </w:r>
            <w:r w:rsidRPr="00715229">
              <w:rPr>
                <w:rFonts w:ascii="Times New Roman" w:hAnsi="Times New Roman" w:cs="Times New Roman"/>
              </w:rPr>
              <w:t>tátni príslušníci tretích krajín odchádzajúci z Ukrajiny v dôsledku ruskej vojenskej agresie</w:t>
            </w:r>
          </w:p>
        </w:tc>
      </w:tr>
    </w:tbl>
    <w:p w:rsidR="0000013D" w:rsidRPr="0000013D" w:rsidRDefault="0000013D" w:rsidP="0000013D">
      <w:pPr>
        <w:rPr>
          <w:rFonts w:ascii="Times New Roman" w:hAnsi="Times New Roman" w:cs="Times New Roman"/>
        </w:rPr>
      </w:pPr>
    </w:p>
    <w:p w:rsidR="0000013D" w:rsidRPr="0000013D" w:rsidRDefault="0000013D" w:rsidP="0000013D">
      <w:pPr>
        <w:pStyle w:val="Odsekzoznamu"/>
        <w:numPr>
          <w:ilvl w:val="0"/>
          <w:numId w:val="2"/>
        </w:numPr>
        <w:ind w:left="284" w:hanging="284"/>
        <w:jc w:val="both"/>
      </w:pPr>
      <w:r w:rsidRPr="0000013D">
        <w:t>Prijímateľ</w:t>
      </w:r>
      <w:r w:rsidRPr="0000013D">
        <w:rPr>
          <w:rStyle w:val="Odkaznapoznmkupodiarou"/>
        </w:rPr>
        <w:footnoteReference w:id="1"/>
      </w:r>
      <w:r w:rsidRPr="0000013D">
        <w:t xml:space="preserve"> národného projektu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Dôvod určenia prijímateľa národného projektu</w:t>
            </w:r>
            <w:r w:rsidRPr="0000013D">
              <w:rPr>
                <w:rStyle w:val="Odkaznapoznmkupodiarou"/>
                <w:rFonts w:ascii="Times New Roman" w:hAnsi="Times New Roman"/>
              </w:rPr>
              <w:footnoteReference w:id="2"/>
            </w:r>
            <w:r w:rsidRPr="000001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Prijímateľom národného projektu (ďalej NP) bude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Ministerstvo investícií, regionálneho rozvoja a informatizácie Slovenskej republiky ako ústredný orgán štátnej správy pre riadenie, koordináciu a dohľad nad využívaním finančných prostriedkov z fondov Európskej únie.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Má prijímateľ osobitné, jedinečné kompetencie na implementáciu aktivít národného projektu priamo </w:t>
            </w:r>
            <w:r w:rsidRPr="0000013D">
              <w:rPr>
                <w:rFonts w:ascii="Times New Roman" w:hAnsi="Times New Roman" w:cs="Times New Roman"/>
              </w:rPr>
              <w:br/>
              <w:t xml:space="preserve">zo zákona, osobitných právnych predpisov, resp. je uvedený priamo </w:t>
            </w:r>
            <w:r w:rsidRPr="0000013D">
              <w:rPr>
                <w:rFonts w:ascii="Times New Roman" w:hAnsi="Times New Roman" w:cs="Times New Roman"/>
              </w:rPr>
              <w:br/>
              <w:t xml:space="preserve">v príslušnom operačnom programe? 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MIRRI SR v rámci organizačnej štruktúry má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vytvorený odbor koordinácie projektov EŠIF, ktorý plní úlohy súvisiace s technickou realizáciou národných projektov alebo iných projektov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spolufinancovaných zo zdrojov Európskej únie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alebo iných zdrojov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Obchodné meno/názov (aj názov sekcie ak relevantné)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Ministerstvo investícií, regionálneho rozvoja a informatizácie Slovenskej republiky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Pribinova 25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811 09 Bratislava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50349287</w:t>
            </w:r>
          </w:p>
        </w:tc>
      </w:tr>
    </w:tbl>
    <w:p w:rsidR="0000013D" w:rsidRPr="0000013D" w:rsidRDefault="0000013D" w:rsidP="0000013D">
      <w:pPr>
        <w:rPr>
          <w:rFonts w:ascii="Times New Roman" w:hAnsi="Times New Roman" w:cs="Times New Roman"/>
        </w:rPr>
      </w:pPr>
    </w:p>
    <w:p w:rsidR="0000013D" w:rsidRPr="0000013D" w:rsidRDefault="0000013D" w:rsidP="0000013D">
      <w:pPr>
        <w:pStyle w:val="Odsekzoznamu"/>
        <w:numPr>
          <w:ilvl w:val="0"/>
          <w:numId w:val="2"/>
        </w:numPr>
        <w:ind w:left="284" w:hanging="284"/>
        <w:jc w:val="both"/>
      </w:pPr>
      <w:r w:rsidRPr="0000013D">
        <w:t xml:space="preserve"> Partner, ktorý sa bude zúčastňovať realizácie národného projektu (ak relevantné)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Zdôvodnenie potreby partnera národného projektu (ak relevantné)</w:t>
            </w:r>
            <w:r w:rsidRPr="0000013D">
              <w:rPr>
                <w:rStyle w:val="Odkaznapoznmkupodiarou"/>
                <w:rFonts w:ascii="Times New Roman" w:hAnsi="Times New Roman"/>
              </w:rPr>
              <w:footnoteReference w:id="3"/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Partnerom národného projektu (ďalej NP) bude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Ministerstvo vnútra Slovenskej republiky (ďalej len „MV SR“) ako ústredný orgán štátnej správy pre ochranu ústavného zriadenia, verejného poriadku, bezpečnosti osôb a majetku, ochranu a správu štátnych hraníc, bezpečnosť a plynulosť cestnej premávky, </w:t>
            </w:r>
            <w:r w:rsidRPr="0000013D">
              <w:rPr>
                <w:rFonts w:ascii="Times New Roman" w:hAnsi="Times New Roman" w:cs="Times New Roman"/>
              </w:rPr>
              <w:lastRenderedPageBreak/>
              <w:t>ochranu bezpečnosti a plynulosti železničnej dopravy, veci zbraní a streliva, súkromné bezpečnostné služby, vstup na územie Slovenskej republiky a pobyt cudzincov na jej území, občianske preukazy, cestovné doklady a oprávnenia na vedenie motorových vozidiel, otázky azylantov a odídencov, evidenciu obyvateľov, evidenciu cestných motorových a prípojných vozidiel, integrovaný záchranný systém, civilnú ochranu a ochranu pred požiarmi.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lastRenderedPageBreak/>
              <w:t xml:space="preserve">Kritériá pre výber partnera </w:t>
            </w:r>
            <w:r w:rsidRPr="0000013D">
              <w:rPr>
                <w:rStyle w:val="Odkaznapoznmkupodiarou"/>
                <w:rFonts w:ascii="Times New Roman" w:hAnsi="Times New Roman"/>
              </w:rPr>
              <w:footnoteReference w:id="4"/>
            </w:r>
          </w:p>
        </w:tc>
        <w:tc>
          <w:tcPr>
            <w:tcW w:w="5239" w:type="dxa"/>
          </w:tcPr>
          <w:p w:rsidR="0000013D" w:rsidRDefault="0000013D" w:rsidP="00165FBD">
            <w:pPr>
              <w:jc w:val="both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Jedným z odborných útvarov partnera je </w:t>
            </w:r>
            <w:r w:rsidR="00165FBD">
              <w:rPr>
                <w:rFonts w:ascii="Times New Roman" w:hAnsi="Times New Roman" w:cs="Times New Roman"/>
              </w:rPr>
              <w:t>Úrad hraničnej a cudzineckej polície P PZ</w:t>
            </w:r>
            <w:r w:rsidRPr="0000013D">
              <w:rPr>
                <w:rFonts w:ascii="Times New Roman" w:hAnsi="Times New Roman" w:cs="Times New Roman"/>
              </w:rPr>
              <w:t xml:space="preserve"> MV SR. </w:t>
            </w:r>
            <w:r w:rsidR="00165FBD" w:rsidRPr="00165FBD">
              <w:rPr>
                <w:rFonts w:ascii="Times New Roman" w:hAnsi="Times New Roman" w:cs="Times New Roman"/>
              </w:rPr>
              <w:t>Úrad hraničnej a cudzineckej polície Prezídia Policajného zboru (ďalej len „ÚHCP P PZ“) bol zriadený 1. apríla 2000 ako orgán s celoslovenskou pôsobnosťou pre oblasť zabezpečovania kontroly hraníc Slovenskej republiky. Slovenská republika má po vstupe do schengenského priestoru vonkajšiu pozemnú hranicu s Ukrajinou v dĺžke 97, 8 kilometra a vonkajšiu vzdušnú hranicu na troch tzv. schengenských letiskách v Bratislave, v Košiciach a v Poprade.</w:t>
            </w:r>
            <w:r w:rsidR="00165FBD">
              <w:rPr>
                <w:rFonts w:ascii="Times New Roman" w:hAnsi="Times New Roman" w:cs="Times New Roman"/>
              </w:rPr>
              <w:t xml:space="preserve"> </w:t>
            </w:r>
          </w:p>
          <w:p w:rsidR="00165FBD" w:rsidRPr="0000013D" w:rsidRDefault="00165FBD" w:rsidP="00165F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Ministerstvo vnútra SR ako partner národného projektu zodpovedá za správnosť a úplnosť poskytnutých údajov týkajúcich sa evidencie o počte registrovaných utečencov.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Má partner monopolné postavenie </w:t>
            </w:r>
            <w:r w:rsidRPr="0000013D">
              <w:rPr>
                <w:rFonts w:ascii="Times New Roman" w:hAnsi="Times New Roman" w:cs="Times New Roman"/>
              </w:rPr>
              <w:br/>
              <w:t>na implementáciu týchto aktivít? (áno/nie) Ak áno, na akom základe?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Áno, Kompetencie Ministerstva vnútra SR vyplývajú z osobitných predpisov taxatívne vymedzených v §11 písm. č. 575/2001 Z. z. o organizácii činnosti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vlády a organizácii ústrednej štátnej správy v znení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nesk. predpisov, podľa ktorého je MV SR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ústredným orgánom štátnej správy pre všeobecnú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vnútornú správu a prostredníctvom svojich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podriadených útvarov poskytuje služby pre občanov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odrážajúce rôzne životné situácie a preto výraznou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mierou zasahuje do fungovania verejnej správy.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Ministerstvo vnútra SR zároveň koordinuje ostatné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subjekty verejnej správy pri plnení úloh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preneseného výkonu štátnej správy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Obchodné meno/názov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Ministerstvo vnútra Slovenskej republiky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Pribinova 2, 812 72 Bratislava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00151866</w:t>
            </w:r>
          </w:p>
        </w:tc>
      </w:tr>
    </w:tbl>
    <w:p w:rsidR="0000013D" w:rsidRPr="0000013D" w:rsidRDefault="0000013D" w:rsidP="0000013D">
      <w:pPr>
        <w:rPr>
          <w:rFonts w:ascii="Times New Roman" w:hAnsi="Times New Roman" w:cs="Times New Roman"/>
          <w:i/>
        </w:rPr>
      </w:pPr>
    </w:p>
    <w:p w:rsidR="0000013D" w:rsidRPr="0000013D" w:rsidRDefault="0000013D" w:rsidP="0000013D">
      <w:pPr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  <w:i/>
        </w:rPr>
        <w:t>V prípade viacerých partnerov, doplňte údaje za každého partnera.</w:t>
      </w:r>
    </w:p>
    <w:p w:rsidR="0000013D" w:rsidRPr="0000013D" w:rsidRDefault="0000013D" w:rsidP="0000013D">
      <w:pPr>
        <w:rPr>
          <w:rFonts w:ascii="Times New Roman" w:hAnsi="Times New Roman" w:cs="Times New Roman"/>
        </w:rPr>
      </w:pPr>
    </w:p>
    <w:p w:rsidR="0000013D" w:rsidRPr="0000013D" w:rsidRDefault="0000013D" w:rsidP="0000013D">
      <w:pPr>
        <w:pStyle w:val="Odsekzoznamu"/>
        <w:numPr>
          <w:ilvl w:val="0"/>
          <w:numId w:val="2"/>
        </w:numPr>
        <w:ind w:left="284" w:hanging="284"/>
        <w:jc w:val="both"/>
      </w:pPr>
      <w:r w:rsidRPr="0000013D">
        <w:t xml:space="preserve"> Predpokladaný časový rámec</w:t>
      </w:r>
    </w:p>
    <w:p w:rsidR="0000013D" w:rsidRPr="0000013D" w:rsidRDefault="0000013D" w:rsidP="0000013D">
      <w:pPr>
        <w:pStyle w:val="Odsekzoznamu"/>
        <w:ind w:left="360"/>
        <w:jc w:val="both"/>
      </w:pPr>
      <w:r w:rsidRPr="0000013D">
        <w:t xml:space="preserve">Dátumy v tabuľke nižšie nie sú záväzné, ale predstavujú vhodný a žiadúci časový rámec </w:t>
      </w:r>
      <w:r w:rsidRPr="0000013D">
        <w:br/>
        <w:t xml:space="preserve">pre zabezpečenie procesov, vedúcich k realizácii národného projektu. 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lastRenderedPageBreak/>
              <w:t>Dátum vyhlásenia vyzvania vo formáte Mesiac/Rok</w:t>
            </w:r>
          </w:p>
        </w:tc>
        <w:tc>
          <w:tcPr>
            <w:tcW w:w="5239" w:type="dxa"/>
          </w:tcPr>
          <w:p w:rsidR="0000013D" w:rsidRPr="0000013D" w:rsidRDefault="0000013D" w:rsidP="00AC40CB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0</w:t>
            </w:r>
            <w:r w:rsidR="00AC40CB">
              <w:rPr>
                <w:rFonts w:ascii="Times New Roman" w:hAnsi="Times New Roman" w:cs="Times New Roman"/>
              </w:rPr>
              <w:t>2</w:t>
            </w:r>
            <w:r w:rsidRPr="0000013D">
              <w:rPr>
                <w:rFonts w:ascii="Times New Roman" w:hAnsi="Times New Roman" w:cs="Times New Roman"/>
              </w:rPr>
              <w:t>/2023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Uveďte plánovaný štvrťrok podpísania zmluvy o NFP s prijímateľom 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1. štvrťrok 2023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Uveďte plánovaný štvrťrok  spustenia realizácie projektu 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1. štvrťrok 202</w:t>
            </w:r>
            <w:r w:rsidR="006A1980">
              <w:rPr>
                <w:rFonts w:ascii="Times New Roman" w:hAnsi="Times New Roman" w:cs="Times New Roman"/>
              </w:rPr>
              <w:t>2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Predpokladaná doba realizácie projektu v mesiacoch </w:t>
            </w:r>
          </w:p>
        </w:tc>
        <w:tc>
          <w:tcPr>
            <w:tcW w:w="5239" w:type="dxa"/>
          </w:tcPr>
          <w:p w:rsidR="0000013D" w:rsidRPr="0000013D" w:rsidRDefault="0000013D" w:rsidP="00656E26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1</w:t>
            </w:r>
            <w:r w:rsidR="00656E26">
              <w:rPr>
                <w:rFonts w:ascii="Times New Roman" w:hAnsi="Times New Roman" w:cs="Times New Roman"/>
              </w:rPr>
              <w:t>6</w:t>
            </w:r>
            <w:r w:rsidRPr="0000013D">
              <w:rPr>
                <w:rFonts w:ascii="Times New Roman" w:hAnsi="Times New Roman" w:cs="Times New Roman"/>
              </w:rPr>
              <w:t xml:space="preserve"> mesiacov (03/2022 – </w:t>
            </w:r>
            <w:r w:rsidR="00656E26">
              <w:rPr>
                <w:rFonts w:ascii="Times New Roman" w:hAnsi="Times New Roman" w:cs="Times New Roman"/>
              </w:rPr>
              <w:t>06</w:t>
            </w:r>
            <w:r w:rsidRPr="0000013D">
              <w:rPr>
                <w:rFonts w:ascii="Times New Roman" w:hAnsi="Times New Roman" w:cs="Times New Roman"/>
              </w:rPr>
              <w:t xml:space="preserve">/2023) </w:t>
            </w:r>
          </w:p>
        </w:tc>
      </w:tr>
    </w:tbl>
    <w:p w:rsidR="0000013D" w:rsidRPr="0000013D" w:rsidRDefault="0000013D" w:rsidP="0000013D">
      <w:pPr>
        <w:rPr>
          <w:rFonts w:ascii="Times New Roman" w:hAnsi="Times New Roman" w:cs="Times New Roman"/>
        </w:rPr>
      </w:pPr>
    </w:p>
    <w:p w:rsidR="0000013D" w:rsidRPr="0000013D" w:rsidRDefault="0000013D" w:rsidP="0000013D">
      <w:pPr>
        <w:pStyle w:val="Odsekzoznamu"/>
        <w:numPr>
          <w:ilvl w:val="0"/>
          <w:numId w:val="2"/>
        </w:numPr>
        <w:ind w:left="284" w:hanging="284"/>
        <w:jc w:val="both"/>
      </w:pPr>
      <w:r w:rsidRPr="0000013D">
        <w:t>Finančný rámec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Alokácia na vyzvanie (zdroj EÚ a ŠR)</w:t>
            </w:r>
          </w:p>
        </w:tc>
        <w:tc>
          <w:tcPr>
            <w:tcW w:w="5239" w:type="dxa"/>
          </w:tcPr>
          <w:p w:rsidR="0000013D" w:rsidRPr="0000013D" w:rsidRDefault="00B72A05" w:rsidP="00EC428E">
            <w:pPr>
              <w:rPr>
                <w:rFonts w:ascii="Times New Roman" w:hAnsi="Times New Roman" w:cs="Times New Roman"/>
              </w:rPr>
            </w:pPr>
            <w:r w:rsidRPr="00B72A05">
              <w:rPr>
                <w:rFonts w:ascii="Times New Roman" w:hAnsi="Times New Roman" w:cs="Times New Roman"/>
              </w:rPr>
              <w:t xml:space="preserve">117 098 056 </w:t>
            </w:r>
            <w:r w:rsidR="0000013D" w:rsidRPr="0000013D">
              <w:rPr>
                <w:rFonts w:ascii="Times New Roman" w:hAnsi="Times New Roman" w:cs="Times New Roman"/>
              </w:rPr>
              <w:t>EUR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Celkové oprávnené výdavky projektu</w:t>
            </w:r>
          </w:p>
        </w:tc>
        <w:tc>
          <w:tcPr>
            <w:tcW w:w="5239" w:type="dxa"/>
          </w:tcPr>
          <w:p w:rsidR="0000013D" w:rsidRPr="0000013D" w:rsidRDefault="00B72A05" w:rsidP="00EC428E">
            <w:pPr>
              <w:rPr>
                <w:rFonts w:ascii="Times New Roman" w:hAnsi="Times New Roman" w:cs="Times New Roman"/>
              </w:rPr>
            </w:pPr>
            <w:r w:rsidRPr="00B72A05">
              <w:rPr>
                <w:rFonts w:ascii="Times New Roman" w:hAnsi="Times New Roman" w:cs="Times New Roman"/>
              </w:rPr>
              <w:t xml:space="preserve">117 098 056 </w:t>
            </w:r>
            <w:r w:rsidR="0000013D" w:rsidRPr="0000013D">
              <w:rPr>
                <w:rFonts w:ascii="Times New Roman" w:hAnsi="Times New Roman" w:cs="Times New Roman"/>
              </w:rPr>
              <w:t>EUR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Vlastné zdroje prijímateľa</w:t>
            </w:r>
          </w:p>
        </w:tc>
        <w:tc>
          <w:tcPr>
            <w:tcW w:w="5239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0,00 EUR</w:t>
            </w:r>
          </w:p>
        </w:tc>
      </w:tr>
    </w:tbl>
    <w:p w:rsidR="0000013D" w:rsidRPr="0000013D" w:rsidRDefault="0000013D" w:rsidP="0000013D">
      <w:pPr>
        <w:ind w:left="284" w:firstLine="16"/>
        <w:rPr>
          <w:rFonts w:ascii="Times New Roman" w:hAnsi="Times New Roman" w:cs="Times New Roman"/>
          <w:i/>
        </w:rPr>
      </w:pPr>
    </w:p>
    <w:p w:rsidR="0000013D" w:rsidRPr="0000013D" w:rsidRDefault="0000013D" w:rsidP="0000013D">
      <w:pPr>
        <w:pStyle w:val="Odsekzoznamu"/>
        <w:ind w:left="0"/>
        <w:jc w:val="both"/>
      </w:pPr>
    </w:p>
    <w:tbl>
      <w:tblPr>
        <w:tblW w:w="907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1517"/>
        <w:gridCol w:w="1840"/>
        <w:gridCol w:w="1701"/>
        <w:gridCol w:w="1179"/>
      </w:tblGrid>
      <w:tr w:rsidR="0000013D" w:rsidRPr="0000013D" w:rsidTr="00EC428E">
        <w:trPr>
          <w:trHeight w:val="5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013D" w:rsidRPr="00BD0096" w:rsidRDefault="0000013D" w:rsidP="00EC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096">
              <w:rPr>
                <w:rFonts w:ascii="Times New Roman" w:hAnsi="Times New Roman" w:cs="Times New Roman"/>
                <w:b/>
              </w:rPr>
              <w:t>Kategórie regiónov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013D" w:rsidRPr="00BD0096" w:rsidRDefault="0000013D" w:rsidP="00EC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096">
              <w:rPr>
                <w:rFonts w:ascii="Times New Roman" w:hAnsi="Times New Roman" w:cs="Times New Roman"/>
                <w:b/>
              </w:rPr>
              <w:t>Celkom                   (v Eur)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3D" w:rsidRPr="00BD0096" w:rsidRDefault="0000013D" w:rsidP="00EC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096">
              <w:rPr>
                <w:rFonts w:ascii="Times New Roman" w:hAnsi="Times New Roman" w:cs="Times New Roman"/>
                <w:b/>
              </w:rPr>
              <w:t>Zdroje EÚ</w:t>
            </w:r>
          </w:p>
          <w:p w:rsidR="0000013D" w:rsidRPr="00BD0096" w:rsidRDefault="0000013D" w:rsidP="00EC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096">
              <w:rPr>
                <w:rFonts w:ascii="Times New Roman" w:hAnsi="Times New Roman" w:cs="Times New Roman"/>
                <w:b/>
              </w:rPr>
              <w:t>(v Eur)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3D" w:rsidRPr="00BD0096" w:rsidRDefault="0000013D" w:rsidP="00EC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096">
              <w:rPr>
                <w:rFonts w:ascii="Times New Roman" w:hAnsi="Times New Roman" w:cs="Times New Roman"/>
                <w:b/>
              </w:rPr>
              <w:t>Zdroje ŠR - spolufinancovanie oprávnenej časti projektu (v Eur)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013D" w:rsidRPr="00BD0096" w:rsidRDefault="0000013D" w:rsidP="00EC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096">
              <w:rPr>
                <w:rFonts w:ascii="Times New Roman" w:hAnsi="Times New Roman" w:cs="Times New Roman"/>
                <w:b/>
              </w:rPr>
              <w:t xml:space="preserve">Zdroje ŠR - </w:t>
            </w:r>
          </w:p>
          <w:p w:rsidR="0000013D" w:rsidRPr="00BD0096" w:rsidRDefault="0000013D" w:rsidP="00EC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096">
              <w:rPr>
                <w:rFonts w:ascii="Times New Roman" w:hAnsi="Times New Roman" w:cs="Times New Roman"/>
                <w:b/>
              </w:rPr>
              <w:t>financovanie neoprávnenej časti projektu (v 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3D" w:rsidRPr="0000013D" w:rsidRDefault="0000013D" w:rsidP="00EC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013D">
              <w:rPr>
                <w:rFonts w:ascii="Times New Roman" w:hAnsi="Times New Roman" w:cs="Times New Roman"/>
                <w:b/>
              </w:rPr>
              <w:t>Použitie koeficientu     pro-rata*</w:t>
            </w:r>
          </w:p>
        </w:tc>
      </w:tr>
      <w:tr w:rsidR="0000013D" w:rsidRPr="0000013D" w:rsidTr="00EC428E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13D" w:rsidRPr="00BD0096" w:rsidRDefault="0000013D" w:rsidP="00EC428E">
            <w:pPr>
              <w:rPr>
                <w:rFonts w:ascii="Times New Roman" w:hAnsi="Times New Roman" w:cs="Times New Roman"/>
                <w:b/>
              </w:rPr>
            </w:pPr>
            <w:r w:rsidRPr="00BD0096">
              <w:rPr>
                <w:rFonts w:ascii="Times New Roman" w:hAnsi="Times New Roman" w:cs="Times New Roman"/>
                <w:b/>
              </w:rPr>
              <w:t>MRR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13D" w:rsidRPr="00BD0096" w:rsidRDefault="0000013D" w:rsidP="00BD0096">
            <w:pPr>
              <w:rPr>
                <w:rFonts w:ascii="Times New Roman" w:eastAsia="Calibri" w:hAnsi="Times New Roman" w:cs="Times New Roman"/>
              </w:rPr>
            </w:pPr>
            <w:r w:rsidRPr="00BD0096">
              <w:rPr>
                <w:rFonts w:ascii="Times New Roman" w:eastAsia="Calibri" w:hAnsi="Times New Roman" w:cs="Times New Roman"/>
              </w:rPr>
              <w:t>1</w:t>
            </w:r>
            <w:r w:rsidR="00BD0096" w:rsidRPr="00BD0096">
              <w:rPr>
                <w:rFonts w:ascii="Times New Roman" w:eastAsia="Calibri" w:hAnsi="Times New Roman" w:cs="Times New Roman"/>
              </w:rPr>
              <w:t>13</w:t>
            </w:r>
            <w:r w:rsidRPr="00BD0096">
              <w:rPr>
                <w:rFonts w:ascii="Times New Roman" w:eastAsia="Calibri" w:hAnsi="Times New Roman" w:cs="Times New Roman"/>
              </w:rPr>
              <w:t> </w:t>
            </w:r>
            <w:r w:rsidR="00BD0096" w:rsidRPr="00BD0096">
              <w:rPr>
                <w:rFonts w:ascii="Times New Roman" w:eastAsia="Calibri" w:hAnsi="Times New Roman" w:cs="Times New Roman"/>
              </w:rPr>
              <w:t>222</w:t>
            </w:r>
            <w:r w:rsidRPr="00BD0096">
              <w:rPr>
                <w:rFonts w:ascii="Times New Roman" w:eastAsia="Calibri" w:hAnsi="Times New Roman" w:cs="Times New Roman"/>
              </w:rPr>
              <w:t> </w:t>
            </w:r>
            <w:r w:rsidR="00BD0096" w:rsidRPr="00BD0096">
              <w:rPr>
                <w:rFonts w:ascii="Times New Roman" w:eastAsia="Calibri" w:hAnsi="Times New Roman" w:cs="Times New Roman"/>
              </w:rPr>
              <w:t>110</w:t>
            </w:r>
            <w:r w:rsidRPr="00BD0096">
              <w:rPr>
                <w:rFonts w:ascii="Times New Roman" w:eastAsia="Calibri" w:hAnsi="Times New Roman" w:cs="Times New Roman"/>
              </w:rPr>
              <w:t>,</w:t>
            </w:r>
            <w:r w:rsidR="00BD0096" w:rsidRPr="00BD0096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13D" w:rsidRPr="00BD0096" w:rsidRDefault="00BD0096" w:rsidP="00EC428E">
            <w:pPr>
              <w:rPr>
                <w:rFonts w:ascii="Times New Roman" w:eastAsia="Calibri" w:hAnsi="Times New Roman" w:cs="Times New Roman"/>
              </w:rPr>
            </w:pPr>
            <w:r w:rsidRPr="00BD0096">
              <w:rPr>
                <w:rFonts w:ascii="Times New Roman" w:eastAsia="Calibri" w:hAnsi="Times New Roman" w:cs="Times New Roman"/>
              </w:rPr>
              <w:t>113 222 110,34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13D" w:rsidRPr="00BD0096" w:rsidRDefault="0000013D" w:rsidP="00EC428E">
            <w:pPr>
              <w:rPr>
                <w:rFonts w:ascii="Times New Roman" w:eastAsia="Calibri" w:hAnsi="Times New Roman" w:cs="Times New Roman"/>
              </w:rPr>
            </w:pPr>
            <w:r w:rsidRPr="00BD009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13D" w:rsidRPr="00BD0096" w:rsidRDefault="0000013D" w:rsidP="00EC428E">
            <w:pPr>
              <w:rPr>
                <w:rFonts w:ascii="Times New Roman" w:eastAsia="Calibri" w:hAnsi="Times New Roman" w:cs="Times New Roman"/>
              </w:rPr>
            </w:pPr>
            <w:r w:rsidRPr="00BD009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00013D" w:rsidRPr="0000013D" w:rsidRDefault="0000013D" w:rsidP="00EC428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0013D">
              <w:rPr>
                <w:rFonts w:ascii="Times New Roman" w:hAnsi="Times New Roman" w:cs="Times New Roman"/>
                <w:strike/>
              </w:rPr>
              <w:t>ÁNO /</w:t>
            </w:r>
            <w:r w:rsidRPr="0000013D">
              <w:rPr>
                <w:rFonts w:ascii="Times New Roman" w:hAnsi="Times New Roman" w:cs="Times New Roman"/>
              </w:rPr>
              <w:t xml:space="preserve"> NIE**</w:t>
            </w:r>
          </w:p>
        </w:tc>
      </w:tr>
      <w:tr w:rsidR="0000013D" w:rsidRPr="0000013D" w:rsidTr="00EC428E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13D" w:rsidRPr="00BD0096" w:rsidRDefault="0000013D" w:rsidP="00EC428E">
            <w:pPr>
              <w:rPr>
                <w:rFonts w:ascii="Times New Roman" w:hAnsi="Times New Roman" w:cs="Times New Roman"/>
                <w:b/>
              </w:rPr>
            </w:pPr>
            <w:r w:rsidRPr="00BD0096">
              <w:rPr>
                <w:rFonts w:ascii="Times New Roman" w:hAnsi="Times New Roman" w:cs="Times New Roman"/>
                <w:b/>
              </w:rPr>
              <w:t>VRR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13D" w:rsidRPr="00BD0096" w:rsidRDefault="00BD0096" w:rsidP="00BD0096">
            <w:pPr>
              <w:rPr>
                <w:rFonts w:ascii="Times New Roman" w:eastAsia="Calibri" w:hAnsi="Times New Roman" w:cs="Times New Roman"/>
              </w:rPr>
            </w:pPr>
            <w:r w:rsidRPr="00BD0096">
              <w:rPr>
                <w:rFonts w:ascii="Times New Roman" w:eastAsia="Calibri" w:hAnsi="Times New Roman" w:cs="Times New Roman"/>
              </w:rPr>
              <w:t>3</w:t>
            </w:r>
            <w:r w:rsidR="0000013D" w:rsidRPr="00BD0096">
              <w:rPr>
                <w:rFonts w:ascii="Times New Roman" w:eastAsia="Calibri" w:hAnsi="Times New Roman" w:cs="Times New Roman"/>
              </w:rPr>
              <w:t> </w:t>
            </w:r>
            <w:r w:rsidRPr="00BD0096">
              <w:rPr>
                <w:rFonts w:ascii="Times New Roman" w:eastAsia="Calibri" w:hAnsi="Times New Roman" w:cs="Times New Roman"/>
              </w:rPr>
              <w:t>875</w:t>
            </w:r>
            <w:r w:rsidR="0000013D" w:rsidRPr="00BD0096">
              <w:rPr>
                <w:rFonts w:ascii="Times New Roman" w:eastAsia="Calibri" w:hAnsi="Times New Roman" w:cs="Times New Roman"/>
              </w:rPr>
              <w:t> </w:t>
            </w:r>
            <w:r w:rsidRPr="00BD0096">
              <w:rPr>
                <w:rFonts w:ascii="Times New Roman" w:eastAsia="Calibri" w:hAnsi="Times New Roman" w:cs="Times New Roman"/>
              </w:rPr>
              <w:t>945</w:t>
            </w:r>
            <w:r w:rsidR="0000013D" w:rsidRPr="00BD0096">
              <w:rPr>
                <w:rFonts w:ascii="Times New Roman" w:eastAsia="Calibri" w:hAnsi="Times New Roman" w:cs="Times New Roman"/>
              </w:rPr>
              <w:t>,</w:t>
            </w:r>
            <w:r w:rsidRPr="00BD0096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13D" w:rsidRPr="00BD0096" w:rsidRDefault="00BD0096" w:rsidP="00BD0096">
            <w:pPr>
              <w:rPr>
                <w:rFonts w:ascii="Times New Roman" w:eastAsia="Calibri" w:hAnsi="Times New Roman" w:cs="Times New Roman"/>
              </w:rPr>
            </w:pPr>
            <w:r w:rsidRPr="00BD0096">
              <w:rPr>
                <w:rFonts w:ascii="Times New Roman" w:eastAsia="Calibri" w:hAnsi="Times New Roman" w:cs="Times New Roman"/>
              </w:rPr>
              <w:t>3</w:t>
            </w:r>
            <w:r w:rsidR="0000013D" w:rsidRPr="00BD0096">
              <w:rPr>
                <w:rFonts w:ascii="Times New Roman" w:eastAsia="Calibri" w:hAnsi="Times New Roman" w:cs="Times New Roman"/>
              </w:rPr>
              <w:t> </w:t>
            </w:r>
            <w:r w:rsidRPr="00BD0096">
              <w:rPr>
                <w:rFonts w:ascii="Times New Roman" w:eastAsia="Calibri" w:hAnsi="Times New Roman" w:cs="Times New Roman"/>
              </w:rPr>
              <w:t>875</w:t>
            </w:r>
            <w:r w:rsidR="0000013D" w:rsidRPr="00BD0096">
              <w:rPr>
                <w:rFonts w:ascii="Times New Roman" w:eastAsia="Calibri" w:hAnsi="Times New Roman" w:cs="Times New Roman"/>
              </w:rPr>
              <w:t> </w:t>
            </w:r>
            <w:r w:rsidRPr="00BD0096">
              <w:rPr>
                <w:rFonts w:ascii="Times New Roman" w:eastAsia="Calibri" w:hAnsi="Times New Roman" w:cs="Times New Roman"/>
              </w:rPr>
              <w:t>945</w:t>
            </w:r>
            <w:r w:rsidR="0000013D" w:rsidRPr="00BD0096">
              <w:rPr>
                <w:rFonts w:ascii="Times New Roman" w:eastAsia="Calibri" w:hAnsi="Times New Roman" w:cs="Times New Roman"/>
              </w:rPr>
              <w:t>,</w:t>
            </w:r>
            <w:r w:rsidRPr="00BD0096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13D" w:rsidRPr="00BD0096" w:rsidRDefault="0000013D" w:rsidP="00EC428E">
            <w:pPr>
              <w:rPr>
                <w:rFonts w:ascii="Times New Roman" w:eastAsia="Calibri" w:hAnsi="Times New Roman" w:cs="Times New Roman"/>
              </w:rPr>
            </w:pPr>
            <w:r w:rsidRPr="00BD009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13D" w:rsidRPr="00BD0096" w:rsidRDefault="0000013D" w:rsidP="00EC428E">
            <w:pPr>
              <w:rPr>
                <w:rFonts w:ascii="Times New Roman" w:eastAsia="Calibri" w:hAnsi="Times New Roman" w:cs="Times New Roman"/>
              </w:rPr>
            </w:pPr>
            <w:r w:rsidRPr="00BD009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:rsidR="0000013D" w:rsidRPr="0000013D" w:rsidRDefault="0000013D" w:rsidP="00EC428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0013D" w:rsidRPr="0000013D" w:rsidTr="00EC428E"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13D" w:rsidRPr="00BD0096" w:rsidRDefault="0000013D" w:rsidP="00EC428E">
            <w:pPr>
              <w:rPr>
                <w:rFonts w:ascii="Times New Roman" w:hAnsi="Times New Roman" w:cs="Times New Roman"/>
                <w:b/>
              </w:rPr>
            </w:pPr>
            <w:r w:rsidRPr="00BD0096">
              <w:rPr>
                <w:rFonts w:ascii="Times New Roman" w:hAnsi="Times New Roman" w:cs="Times New Roman"/>
                <w:b/>
              </w:rPr>
              <w:t>Spolu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13D" w:rsidRPr="00BD0096" w:rsidRDefault="00BD0096" w:rsidP="00EC428E">
            <w:pPr>
              <w:rPr>
                <w:rFonts w:ascii="Times New Roman" w:eastAsia="Calibri" w:hAnsi="Times New Roman" w:cs="Times New Roman"/>
              </w:rPr>
            </w:pPr>
            <w:r w:rsidRPr="00BD0096">
              <w:rPr>
                <w:rFonts w:ascii="Times New Roman" w:eastAsia="Calibri" w:hAnsi="Times New Roman" w:cs="Times New Roman"/>
              </w:rPr>
              <w:t>117 098 056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13D" w:rsidRPr="00BD0096" w:rsidRDefault="0000013D" w:rsidP="00BD0096">
            <w:pPr>
              <w:rPr>
                <w:rFonts w:ascii="Times New Roman" w:eastAsia="Calibri" w:hAnsi="Times New Roman" w:cs="Times New Roman"/>
              </w:rPr>
            </w:pPr>
            <w:r w:rsidRPr="00BD0096">
              <w:rPr>
                <w:rFonts w:ascii="Times New Roman" w:eastAsia="Calibri" w:hAnsi="Times New Roman" w:cs="Times New Roman"/>
              </w:rPr>
              <w:t>1</w:t>
            </w:r>
            <w:r w:rsidR="00BD0096" w:rsidRPr="00BD0096">
              <w:rPr>
                <w:rFonts w:ascii="Times New Roman" w:eastAsia="Calibri" w:hAnsi="Times New Roman" w:cs="Times New Roman"/>
              </w:rPr>
              <w:t>17</w:t>
            </w:r>
            <w:r w:rsidRPr="00BD0096">
              <w:rPr>
                <w:rFonts w:ascii="Times New Roman" w:eastAsia="Calibri" w:hAnsi="Times New Roman" w:cs="Times New Roman"/>
              </w:rPr>
              <w:t> </w:t>
            </w:r>
            <w:r w:rsidR="00BD0096" w:rsidRPr="00BD0096">
              <w:rPr>
                <w:rFonts w:ascii="Times New Roman" w:eastAsia="Calibri" w:hAnsi="Times New Roman" w:cs="Times New Roman"/>
              </w:rPr>
              <w:t>098</w:t>
            </w:r>
            <w:r w:rsidRPr="00BD0096">
              <w:rPr>
                <w:rFonts w:ascii="Times New Roman" w:eastAsia="Calibri" w:hAnsi="Times New Roman" w:cs="Times New Roman"/>
              </w:rPr>
              <w:t xml:space="preserve"> </w:t>
            </w:r>
            <w:r w:rsidR="00BD0096" w:rsidRPr="00BD0096">
              <w:rPr>
                <w:rFonts w:ascii="Times New Roman" w:eastAsia="Calibri" w:hAnsi="Times New Roman" w:cs="Times New Roman"/>
              </w:rPr>
              <w:t>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13D" w:rsidRPr="00BD0096" w:rsidRDefault="0000013D" w:rsidP="00EC428E">
            <w:pPr>
              <w:rPr>
                <w:rFonts w:ascii="Times New Roman" w:eastAsia="Calibri" w:hAnsi="Times New Roman" w:cs="Times New Roman"/>
              </w:rPr>
            </w:pPr>
            <w:r w:rsidRPr="00BD009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13D" w:rsidRPr="00BD0096" w:rsidRDefault="0000013D" w:rsidP="00EC428E">
            <w:pPr>
              <w:rPr>
                <w:rFonts w:ascii="Times New Roman" w:eastAsia="Calibri" w:hAnsi="Times New Roman" w:cs="Times New Roman"/>
              </w:rPr>
            </w:pPr>
            <w:r w:rsidRPr="00BD009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</w:p>
        </w:tc>
      </w:tr>
    </w:tbl>
    <w:p w:rsidR="0000013D" w:rsidRPr="0000013D" w:rsidRDefault="0000013D" w:rsidP="0000013D">
      <w:pPr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* vyplniť v prípade realizácie projektu v oboch kategóriách regiónov</w:t>
      </w:r>
    </w:p>
    <w:p w:rsidR="0000013D" w:rsidRPr="0000013D" w:rsidRDefault="0000013D" w:rsidP="0000013D">
      <w:pPr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** ak NIE, je potrebné predložiť analýzu rozdelenia výdavkov na jednotlivé kategórie regiónov</w:t>
      </w:r>
    </w:p>
    <w:p w:rsidR="0000013D" w:rsidRPr="0000013D" w:rsidRDefault="0000013D" w:rsidP="0000013D">
      <w:pPr>
        <w:ind w:left="284" w:firstLine="16"/>
        <w:rPr>
          <w:rFonts w:ascii="Times New Roman" w:hAnsi="Times New Roman" w:cs="Times New Roman"/>
          <w:i/>
        </w:rPr>
      </w:pPr>
    </w:p>
    <w:p w:rsidR="0000013D" w:rsidRPr="0000013D" w:rsidRDefault="0000013D" w:rsidP="0000013D">
      <w:pPr>
        <w:ind w:left="284" w:firstLine="16"/>
        <w:rPr>
          <w:rFonts w:ascii="Times New Roman" w:hAnsi="Times New Roman" w:cs="Times New Roman"/>
          <w:i/>
        </w:rPr>
      </w:pPr>
    </w:p>
    <w:p w:rsidR="0000013D" w:rsidRPr="0000013D" w:rsidRDefault="0000013D" w:rsidP="0000013D">
      <w:pPr>
        <w:pStyle w:val="Odsekzoznamu"/>
        <w:numPr>
          <w:ilvl w:val="0"/>
          <w:numId w:val="2"/>
        </w:numPr>
        <w:ind w:left="284" w:hanging="284"/>
        <w:jc w:val="both"/>
      </w:pPr>
      <w:r w:rsidRPr="0000013D">
        <w:t>Východiskový stav</w:t>
      </w:r>
    </w:p>
    <w:p w:rsidR="0000013D" w:rsidRPr="0000013D" w:rsidRDefault="0000013D" w:rsidP="0000013D">
      <w:pPr>
        <w:pStyle w:val="Odsekzoznamu"/>
        <w:numPr>
          <w:ilvl w:val="1"/>
          <w:numId w:val="2"/>
        </w:numPr>
        <w:ind w:left="567" w:hanging="283"/>
        <w:jc w:val="both"/>
      </w:pPr>
      <w:r w:rsidRPr="0000013D">
        <w:t>Uveďte východiskové dokumenty na regionálnej, národnej a európskej úrovni, ktoré priamo súvisia s realizáciou NP:</w:t>
      </w:r>
    </w:p>
    <w:p w:rsidR="00056590" w:rsidRPr="0000013D" w:rsidRDefault="00056590" w:rsidP="00056590">
      <w:pPr>
        <w:pStyle w:val="Odsekzoznamu"/>
        <w:numPr>
          <w:ilvl w:val="0"/>
          <w:numId w:val="3"/>
        </w:numPr>
        <w:jc w:val="both"/>
      </w:pPr>
      <w:r w:rsidRPr="0000013D">
        <w:t>Nariadenie Európskeho parlamentu a Rady (EÚ) 2022/2039 z 19. októbra 2022</w:t>
      </w:r>
      <w:r w:rsidRPr="00056590">
        <w:t xml:space="preserve"> ktorým sa menia nariadenia (EÚ) č. 1303/2013 a (EÚ) 2021/1060, pokiaľ ide o dodatočnú flexibilitu na riešenie dôsledkov vojenskej agresie Ruskej federácie FAST (Flexibilná pomoc územiam) – CARE</w:t>
      </w:r>
      <w:r w:rsidRPr="0000013D">
        <w:t>;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>Nariadenie Európskeho parlamentu a Rady (EÚ) 2022/562 zo 6. apríla 2022, ktorým sa menia nariadenia (EÚ) č. 1303/2013 a (EÚ) č. 223/2014, pokiaľ ide o Kohézne opatrenia na podporu utečencov v Európe (CARE) ;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>Nariadenie Európskeho parlamentu a Rady (EÚ) č. 1303/2013 zo 17. decembra 2013</w:t>
      </w:r>
      <w:r w:rsidR="00056590">
        <w:t xml:space="preserve"> v znení neskorších úprav</w:t>
      </w:r>
      <w:r w:rsidR="00E31AD1">
        <w:t xml:space="preserve"> (ďalej ako „nariadenie 1303/2013“)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 xml:space="preserve">Zmluva o Európskej únii a Zmluva o fungovaní Európskej únie; 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 xml:space="preserve">Nariadenie Európskeho parlamentu a Rady (EÚ) č. 1304/2013 zo 17. decembra 2013 o Európskom sociálnom fonde a o zrušení nariadenia Rady (ES) č. 1081/2006 z 5 júla 2006 o Európskom sociálnom fonde; 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lastRenderedPageBreak/>
        <w:t xml:space="preserve">Systém riadenia európskych štrukturálnych a investičných fondov pre programové obdobie 2014 – 2020; 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>Zákon č. 292/2014 Z. z. o príspevku poskytovanom z európskych štrukturálnych a investičných fondov a o zmene a doplnení niektorých zákonov;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 xml:space="preserve">Zákon č. 523/2004 Z. z. o rozpočtových pravidlách verejnej správy a o zmene a doplnení zákon niektorých zákonov v znení neskorších predpisov; 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 xml:space="preserve">Zákon č. 357/2015 Z. z. o finančnej kontrole a audite a o zmene a doplnení niektorých zákonov; 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 xml:space="preserve">Zákon č. 291/2002 Z. z. o Štátnej pokladnici o zmene a doplnení niektorých zákonov v znení neskorších predpisov; 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 xml:space="preserve">Zákon č. 440/2000 Z. z. o správach finančnej kontroly v znení neskorších predpisov; 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 xml:space="preserve">Zákon č. 431/2002 Z. z. o účtovníctve v znení neskorších predpisov; 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 xml:space="preserve">Zákon č. 513/1991 Zb. Obchodný zákonník v znení neskorších predpisov; 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 xml:space="preserve">Zákon č. 40/1964 Zb. Občiansky zákonník v znení neskorších predpisov; 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 xml:space="preserve">Zákon č. 394/2012 Z. z. o obmedzení platieb v hotovosti; 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 xml:space="preserve">Nariadenie vlády SR č. 498/2011 Z. z., ktorým sa ustanovujú podrobnosti o zverejňovaní zmlúv v Centrálnom registri zmlúv a náležitostí o uzatvorení zmluvy; 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 xml:space="preserve">Zákon č. 18/2018 Z. z. o ochrane osobných údajov v znení neskorších predpisov; 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>Zákon č. 177/2018 Z. z. o niektorých opatreniach na znižovanie administratívnej záťaže využívaním informačných systémov verejnej správy a o zmene a doplnení niektorých zákonov (zákon proti byrokracii);</w:t>
      </w:r>
    </w:p>
    <w:p w:rsid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>Integrovaný regionálny operačný program.</w:t>
      </w:r>
    </w:p>
    <w:p w:rsidR="00AC40CB" w:rsidRDefault="00AC40CB" w:rsidP="00AC40CB">
      <w:pPr>
        <w:pStyle w:val="Odsekzoznamu"/>
        <w:jc w:val="both"/>
      </w:pPr>
    </w:p>
    <w:p w:rsidR="00107D87" w:rsidRPr="0000013D" w:rsidRDefault="0000013D" w:rsidP="00107D87">
      <w:pPr>
        <w:pStyle w:val="Odsekzoznamu"/>
        <w:numPr>
          <w:ilvl w:val="1"/>
          <w:numId w:val="2"/>
        </w:numPr>
        <w:ind w:left="567" w:hanging="283"/>
        <w:jc w:val="both"/>
      </w:pPr>
      <w:r w:rsidRPr="0000013D">
        <w:t xml:space="preserve">Uveďte predchádzajúce výstupy z dostupných analýz, na ktoré nadväzuje navrhovaný zámer NP (štatistiky, analýzy, štúdie,...): </w:t>
      </w:r>
    </w:p>
    <w:p w:rsidR="00107D87" w:rsidRDefault="00107D87" w:rsidP="0000013D">
      <w:pPr>
        <w:jc w:val="both"/>
        <w:rPr>
          <w:rFonts w:ascii="Times New Roman" w:hAnsi="Times New Roman" w:cs="Times New Roman"/>
        </w:rPr>
      </w:pPr>
    </w:p>
    <w:p w:rsidR="0000013D" w:rsidRPr="0000013D" w:rsidRDefault="0000013D" w:rsidP="00D83C60">
      <w:pPr>
        <w:spacing w:line="240" w:lineRule="auto"/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Rusko začalo 24. februára 2022 vojenskú agresiu voči Ukrajine. Odvtedy pred vojnou utiekli milióny ľudí, ktorí hľadajú útočisko v krajinách EÚ. EÚ vyjadruje plnú solidaritu Ukrajine a jej ľudu. EÚ v reakcii na agresiu Ruska preukázala jednotu a silu a Ukrajine poskytla koordinovanú humanitárnu, politickú, finančnú a materiálnu podporu.</w:t>
      </w:r>
    </w:p>
    <w:p w:rsidR="0000013D" w:rsidRPr="0000013D" w:rsidRDefault="0000013D" w:rsidP="0000013D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EÚ prijala konkrétne opatrenia na pomoc utečencom, medzi ktoré patrí: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>mechanizmus dočasnej ochrany osôb utekajúcich pred vojnou,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>podpora v oblasti civilnej ochrany pre Ukrajinu, Poľsko, Slovensko, Česko a Moldavsko,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>finančná a technická podpora pre členské štáty prijímajúce utečencov,</w:t>
      </w:r>
    </w:p>
    <w:p w:rsidR="0000013D" w:rsidRPr="0000013D" w:rsidRDefault="0000013D" w:rsidP="0000013D">
      <w:pPr>
        <w:pStyle w:val="Odsekzoznamu"/>
        <w:numPr>
          <w:ilvl w:val="0"/>
          <w:numId w:val="3"/>
        </w:numPr>
        <w:jc w:val="both"/>
      </w:pPr>
      <w:r w:rsidRPr="0000013D">
        <w:t>podpora na riadenie hraníc pre krajiny EÚ a Moldavsko.</w:t>
      </w:r>
    </w:p>
    <w:p w:rsidR="0000013D" w:rsidRPr="0000013D" w:rsidRDefault="0000013D" w:rsidP="0000013D">
      <w:pPr>
        <w:pStyle w:val="Odsekzoznamu"/>
        <w:jc w:val="both"/>
      </w:pPr>
    </w:p>
    <w:p w:rsidR="0000013D" w:rsidRPr="0000013D" w:rsidRDefault="0000013D" w:rsidP="0000013D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Vojna na Ukrajine je humanitárnou katastrofou, má citeľný negatívny vplyv na európsku ekonomiku a prináša zvýšenú mieru neistoty. Rusko v dôsledku invázie čelí bezprecedentným obchodným a finančným sankciám zo strany vyspelých ekonomík, vrátane Európskej únie. Slovensko cíti negatívny vplyv vojny cez dodávky komodít z Ruska a Ukrajiny. Ceny plynu, ropy a obilnín rastú a produkcia obilia na Ukrajine, ktorá je často nazývaná aj sýpkou Európy, bude nižšia. Dnes dostupné scenáre možného budúceho vývoja počítajú s vyššou infláciou a slabším ekonomickým rastom.</w:t>
      </w:r>
    </w:p>
    <w:p w:rsidR="0000013D" w:rsidRDefault="0000013D" w:rsidP="0000013D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Vplyv vojny na ekonomiku eurozóny je v porovnaní s inými ekonomikami veľmi silný. Vlády a centrálne banky sú nútené flexibilne reagovať na vzniknutú krízu.</w:t>
      </w:r>
    </w:p>
    <w:p w:rsidR="004513E4" w:rsidRPr="0000013D" w:rsidRDefault="004513E4" w:rsidP="004513E4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Európska komisia prijala okamžité opatrenia s cieľom pomôcť zmobilizovať finančnú podporu pre členské štáty, ktoré sú hostiteľmi ľudí na úteku pred vojnou na Ukrajine.</w:t>
      </w:r>
    </w:p>
    <w:p w:rsidR="004513E4" w:rsidRPr="0000013D" w:rsidRDefault="004513E4" w:rsidP="004513E4">
      <w:pPr>
        <w:jc w:val="both"/>
        <w:rPr>
          <w:rFonts w:ascii="Times New Roman" w:hAnsi="Times New Roman" w:cs="Times New Roman"/>
          <w:highlight w:val="yellow"/>
        </w:rPr>
      </w:pPr>
      <w:r w:rsidRPr="0000013D">
        <w:rPr>
          <w:rFonts w:ascii="Times New Roman" w:hAnsi="Times New Roman" w:cs="Times New Roman"/>
        </w:rPr>
        <w:lastRenderedPageBreak/>
        <w:t>Komisia vyplatila členským štátom zálohové platby vo výške viac ako 3,5 mld. EUR z iniciatívy Pomoc pri obnove v rámci politiky súdržnosti a pri obnove území v Európe (REACT-EU). Vďaka tomuto okamžitému prísunu likvidity získajú členské štáty rýchlejšie prístup k prostriedkom, ktoré môžu investovať do infraštruktúry, bývania, zariadení a služieb v oblasti zamestnania, vzdelávania, sociálneho začlenenia, zdravotnej starostlivosti a starostlivosti o deti.</w:t>
      </w:r>
    </w:p>
    <w:p w:rsidR="004513E4" w:rsidRPr="0000013D" w:rsidRDefault="004513E4" w:rsidP="004513E4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Na základe Kohéznych opatrení na podporu utečencov v Európe (FAST CARE) majú členské štáty možnosť použiť aj nevyčerpané prostriedky z Kohézneho fondu z programového obdobia 2014 – 2020 na poskytnutie núdzovej podpory ľuďom utekajúcim z Ukrajiny a prichádzajúcim na ich územie. To zahŕňa investície do vzdelávania, zamestnania, bývania, služieb zdravotnej starostlivosti a starostlivosti o deti, ale aj základnú materiálnu pomoc, ako je jedlo a oblečenie.</w:t>
      </w:r>
    </w:p>
    <w:p w:rsidR="004513E4" w:rsidRPr="0000013D" w:rsidRDefault="004513E4" w:rsidP="004513E4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 xml:space="preserve">Vzhľadom na naliehavosť riešenia situácie, v ktorej sa nachádzajú ľudia utekajúci z Ukrajiny v dôsledku invázie Ruska, je cieľom </w:t>
      </w:r>
      <w:r w:rsidR="00056590" w:rsidRPr="0000013D">
        <w:rPr>
          <w:rFonts w:ascii="Times New Roman" w:hAnsi="Times New Roman" w:cs="Times New Roman"/>
        </w:rPr>
        <w:t>opatren</w:t>
      </w:r>
      <w:r w:rsidR="00056590">
        <w:rPr>
          <w:rFonts w:ascii="Times New Roman" w:hAnsi="Times New Roman" w:cs="Times New Roman"/>
        </w:rPr>
        <w:t>í</w:t>
      </w:r>
      <w:r w:rsidR="00056590" w:rsidRPr="0000013D">
        <w:rPr>
          <w:rFonts w:ascii="Times New Roman" w:hAnsi="Times New Roman" w:cs="Times New Roman"/>
        </w:rPr>
        <w:t xml:space="preserve"> </w:t>
      </w:r>
      <w:r w:rsidRPr="0000013D">
        <w:rPr>
          <w:rFonts w:ascii="Times New Roman" w:hAnsi="Times New Roman" w:cs="Times New Roman"/>
        </w:rPr>
        <w:t>FAST CARE poskytnúť dodatočnú flexibilitu čerpania prostriedkov na podporu politiky súdržnosti v záujme podpory členských štátov, ktoré prijímajú osoby utekajúce pred vojnou na Ukrajine.</w:t>
      </w:r>
    </w:p>
    <w:p w:rsidR="004513E4" w:rsidRPr="0000013D" w:rsidRDefault="004513E4" w:rsidP="004513E4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Opatreniami FAST CARE sa zavádzajú štyri hlavné zmeny pravidiel politiky súdržnosti s cieľom maximálne zrýchliť a zjednodušiť postupy, na základe ktorých môžu členské štáty pomôcť ľuďom utekajúcim z Ukrajiny, a pritom naďalej podporovať obnovu regiónov:</w:t>
      </w:r>
    </w:p>
    <w:p w:rsidR="004513E4" w:rsidRPr="0000013D" w:rsidRDefault="004513E4" w:rsidP="004513E4">
      <w:pPr>
        <w:pStyle w:val="Odsekzoznamu"/>
        <w:numPr>
          <w:ilvl w:val="0"/>
          <w:numId w:val="3"/>
        </w:numPr>
        <w:jc w:val="both"/>
      </w:pPr>
      <w:r w:rsidRPr="0000013D">
        <w:t>v záujme zmiernenia tlakov na národné rozpočty sa možnosť 100 % miery spolufinancovania z prostriedkov EÚ v oblasti politiky súdržnosti na roky 2014 – 2020 bude týkať aj finančného roku 2021 – 2022;</w:t>
      </w:r>
    </w:p>
    <w:p w:rsidR="004513E4" w:rsidRPr="0000013D" w:rsidRDefault="004513E4" w:rsidP="004513E4">
      <w:pPr>
        <w:pStyle w:val="Odsekzoznamu"/>
        <w:numPr>
          <w:ilvl w:val="0"/>
          <w:numId w:val="3"/>
        </w:numPr>
        <w:jc w:val="both"/>
      </w:pPr>
      <w:r w:rsidRPr="0000013D">
        <w:t>členské štáty a regióny budú mať možnosť využívať zdroje z Európskeho fondu regionálneho rozvoja (EFRR) alebo Európskeho sociálneho fondu (ESF) pri ktorýchkoľvek opatreniach určených na podporu ľudí utekajúcich z Ukrajiny. Vďaka tejto flexibilite bude možné projekty podporiť z ktoréhokoľvek z týchto dvoch fondov, a to aj vtedy, ak by sa za bežných okolností financovali práve z toho druhého fondu;</w:t>
      </w:r>
    </w:p>
    <w:p w:rsidR="004513E4" w:rsidRPr="0000013D" w:rsidRDefault="004513E4" w:rsidP="004513E4">
      <w:pPr>
        <w:pStyle w:val="Odsekzoznamu"/>
        <w:numPr>
          <w:ilvl w:val="0"/>
          <w:numId w:val="3"/>
        </w:numPr>
        <w:jc w:val="both"/>
      </w:pPr>
      <w:r w:rsidRPr="0000013D">
        <w:t>výdavky členských štátov na všetky opatrenia slúžiace na pomoc ľuďom utekajúcim z Ukrajiny budú oprávnené na podporu z prostriedkov EÚ so spätnou platnosťou, počnúc dňom začiatku ruskej invázie (24. februára 2022);</w:t>
      </w:r>
    </w:p>
    <w:p w:rsidR="004513E4" w:rsidRPr="0000013D" w:rsidRDefault="004513E4" w:rsidP="004513E4">
      <w:pPr>
        <w:pStyle w:val="Odsekzoznamu"/>
        <w:numPr>
          <w:ilvl w:val="0"/>
          <w:numId w:val="3"/>
        </w:numPr>
        <w:jc w:val="both"/>
      </w:pPr>
      <w:r w:rsidRPr="0000013D">
        <w:t>zjednoduší sa podávanie správ a zavádzanie zmien do programov.</w:t>
      </w:r>
    </w:p>
    <w:p w:rsidR="0000013D" w:rsidRPr="0000013D" w:rsidRDefault="0000013D" w:rsidP="0000013D">
      <w:pPr>
        <w:pStyle w:val="Odsekzoznamu"/>
        <w:numPr>
          <w:ilvl w:val="1"/>
          <w:numId w:val="2"/>
        </w:numPr>
        <w:ind w:left="567" w:hanging="283"/>
        <w:jc w:val="both"/>
      </w:pPr>
      <w:r w:rsidRPr="0000013D">
        <w:t>Uveďte, na ktoré z ukončených a prebiehajúcich národných projektov</w:t>
      </w:r>
      <w:r w:rsidRPr="0000013D">
        <w:rPr>
          <w:rStyle w:val="Odkaznapoznmkupodiarou"/>
        </w:rPr>
        <w:footnoteReference w:id="5"/>
      </w:r>
      <w:r w:rsidRPr="0000013D">
        <w:t xml:space="preserve"> zámer NP priamo nadväzuje, v čom je navrhovaný NP od nich odlišný a ako sú v ňom zohľadnené výsledky/dopady predchádzajúcich NP (ak relevantné): N/A</w:t>
      </w:r>
    </w:p>
    <w:p w:rsidR="00BE512E" w:rsidRPr="0000013D" w:rsidRDefault="0000013D" w:rsidP="00BE512E">
      <w:pPr>
        <w:pStyle w:val="Odsekzoznamu"/>
        <w:numPr>
          <w:ilvl w:val="1"/>
          <w:numId w:val="2"/>
        </w:numPr>
        <w:ind w:left="567" w:hanging="283"/>
        <w:jc w:val="both"/>
      </w:pPr>
      <w:r w:rsidRPr="0000013D">
        <w:t xml:space="preserve">Popíšte problémové a prioritné oblasti, ktoré rieši zámer národného projektu. (Zoznam známych problémov, ktoré vyplývajú zo súčasného stavu a je potrebné ich riešiť): </w:t>
      </w:r>
    </w:p>
    <w:p w:rsidR="0000013D" w:rsidRPr="0000013D" w:rsidRDefault="0000013D" w:rsidP="0000013D">
      <w:pPr>
        <w:jc w:val="both"/>
        <w:rPr>
          <w:rFonts w:ascii="Times New Roman" w:hAnsi="Times New Roman" w:cs="Times New Roman"/>
        </w:rPr>
      </w:pPr>
    </w:p>
    <w:p w:rsidR="0000013D" w:rsidRPr="0000013D" w:rsidRDefault="0000013D" w:rsidP="0000013D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 xml:space="preserve">Cieľom </w:t>
      </w:r>
      <w:r w:rsidR="00107D87">
        <w:rPr>
          <w:rFonts w:ascii="Times New Roman" w:hAnsi="Times New Roman" w:cs="Times New Roman"/>
        </w:rPr>
        <w:t xml:space="preserve">špecifického cieľa 9.1 prioritnej osi 9 IROP </w:t>
      </w:r>
      <w:r w:rsidRPr="0000013D">
        <w:rPr>
          <w:rFonts w:ascii="Times New Roman" w:hAnsi="Times New Roman" w:cs="Times New Roman"/>
        </w:rPr>
        <w:t>je pokryť náklady súvisiace s rýchlou reakciou sektorov štátnej správy na potreby skupiny utečencov s dočasným útočiskom, ktorí prišli na Slovensko.</w:t>
      </w:r>
    </w:p>
    <w:p w:rsidR="0000013D" w:rsidRPr="0000013D" w:rsidRDefault="0000013D" w:rsidP="0000013D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Pomoc odídencom z Ukrajiny rieši</w:t>
      </w:r>
      <w:r w:rsidR="005B4F93">
        <w:rPr>
          <w:rFonts w:ascii="Times New Roman" w:hAnsi="Times New Roman" w:cs="Times New Roman"/>
        </w:rPr>
        <w:t>la</w:t>
      </w:r>
      <w:r w:rsidRPr="0000013D">
        <w:rPr>
          <w:rFonts w:ascii="Times New Roman" w:hAnsi="Times New Roman" w:cs="Times New Roman"/>
        </w:rPr>
        <w:t xml:space="preserve"> slovenská vláda, ktorá prijala základný legislatívny rámec, ktorý sa dotýka situácie na Ukrajine, takzvaný balík zákonov Lex Ukrajina. Rieši napríklad príspevky na ubytovanie pre Ukrajincov, začleňovanie detí do školského systému a rôzne opatrenia v nemocniciach či na trhu práce.</w:t>
      </w:r>
    </w:p>
    <w:p w:rsidR="0000013D" w:rsidRPr="0000013D" w:rsidRDefault="0000013D" w:rsidP="0000013D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 xml:space="preserve">Nevyhnutné opatrenia na zvládnutie utečeneckej krízy schválila vláda bez vážnejších pripomienok. Ministerstvo dopravy a výstavby Slovenskej republiky si zobralo pod seba poskytovanie príspevkov za </w:t>
      </w:r>
      <w:r w:rsidRPr="0000013D">
        <w:rPr>
          <w:rFonts w:ascii="Times New Roman" w:hAnsi="Times New Roman" w:cs="Times New Roman"/>
        </w:rPr>
        <w:lastRenderedPageBreak/>
        <w:t>ubytovanie pre hotelierov, rezort vnútra zasa rieši prenájmy bytov súkromných osôb pre odídencov z Ukrajiny.</w:t>
      </w:r>
    </w:p>
    <w:p w:rsidR="0000013D" w:rsidRDefault="0000013D" w:rsidP="0000013D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Projekt reflektuje potrebu krytia finančných nákladov, ktoré súvisia najmä so zabezpečovaním základných potrieb tovarmi a službami v rámci prvého prijatia a okamžitej pomoci pre utečencov. Ide najmä o všeobecný spotrebný materiál (hygienické balíčky, prikrývky, oblečenie, lieky bez lekárskeho predpisu, atď), špecifický spotrebný materiál pre deti (učebné pomôcky, plienky, dojčenské fľaše,...), ako aj potraviny, poskytovanie dopravy, prekladateľské služby a mnoho ďalšieho.</w:t>
      </w:r>
    </w:p>
    <w:p w:rsidR="00BE512E" w:rsidRPr="0000013D" w:rsidRDefault="00BE512E" w:rsidP="00BE512E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Z fondov politiky súdržnosti sa môžu podporovať núdzové opatrenia, medzi ktoré patrí napríklad budovanie záchytných centier či azylových domov pre utečencov, a opatrenia v oblastiach, ako sú mobilné nemocnice, hygiena či dodávky vody.</w:t>
      </w:r>
    </w:p>
    <w:p w:rsidR="00BE512E" w:rsidRPr="0000013D" w:rsidRDefault="00BE512E" w:rsidP="00BE512E">
      <w:pPr>
        <w:rPr>
          <w:rFonts w:ascii="Times New Roman" w:hAnsi="Times New Roman" w:cs="Times New Roman"/>
        </w:rPr>
      </w:pPr>
    </w:p>
    <w:p w:rsidR="0000013D" w:rsidRPr="0000013D" w:rsidRDefault="0000013D" w:rsidP="0000013D">
      <w:pPr>
        <w:pStyle w:val="Odsekzoznamu"/>
        <w:numPr>
          <w:ilvl w:val="1"/>
          <w:numId w:val="2"/>
        </w:numPr>
        <w:tabs>
          <w:tab w:val="left" w:pos="567"/>
        </w:tabs>
        <w:ind w:left="567" w:hanging="283"/>
        <w:jc w:val="both"/>
      </w:pPr>
      <w:r w:rsidRPr="0000013D">
        <w:t>Popíšte administratívnu, finančnú a prevádzkovú kapacitu žiadateľa a partnera (v prípade, že v projekte je zapojený aj partner)</w:t>
      </w:r>
    </w:p>
    <w:p w:rsidR="005B4F93" w:rsidRDefault="005B4F93" w:rsidP="005B4F93">
      <w:pPr>
        <w:pStyle w:val="Odsekzoznamu"/>
        <w:tabs>
          <w:tab w:val="left" w:pos="284"/>
        </w:tabs>
        <w:ind w:left="0"/>
        <w:jc w:val="both"/>
      </w:pPr>
    </w:p>
    <w:p w:rsidR="0000013D" w:rsidRPr="006C3EA1" w:rsidRDefault="0000013D" w:rsidP="005B4F93">
      <w:pPr>
        <w:pStyle w:val="Odsekzoznamu"/>
        <w:tabs>
          <w:tab w:val="left" w:pos="284"/>
        </w:tabs>
        <w:ind w:left="0"/>
        <w:jc w:val="both"/>
        <w:rPr>
          <w:sz w:val="22"/>
          <w:szCs w:val="22"/>
        </w:rPr>
      </w:pPr>
      <w:r w:rsidRPr="006C3EA1">
        <w:rPr>
          <w:sz w:val="22"/>
          <w:szCs w:val="22"/>
        </w:rPr>
        <w:t>MIRRI SR je ústredným orgánom štátnej správy Slovenskej republiky pre riadenie, koordináciu a dohľad nad využívaním finančných  prostriedkov z fondov Európskej únie.</w:t>
      </w:r>
    </w:p>
    <w:p w:rsidR="0000013D" w:rsidRPr="006C3EA1" w:rsidRDefault="0000013D" w:rsidP="005B4F93">
      <w:pPr>
        <w:pStyle w:val="Odsekzoznamu"/>
        <w:tabs>
          <w:tab w:val="left" w:pos="142"/>
        </w:tabs>
        <w:ind w:left="0"/>
        <w:jc w:val="both"/>
        <w:rPr>
          <w:sz w:val="22"/>
          <w:szCs w:val="22"/>
        </w:rPr>
      </w:pPr>
      <w:r w:rsidRPr="006C3EA1">
        <w:rPr>
          <w:sz w:val="22"/>
          <w:szCs w:val="22"/>
        </w:rPr>
        <w:t>Implementáciu národných projektov v rámci MIRRI SR zabezpečuje odbor koordinácie projektov EŠIF sekcie ekonomiky a projektov EŠIF, ktorý disponuje potrebnými administratívnymi kapacitami pre realizáciu takéhoto projektu. Pri realizácii bude MIRRI SR spolupracovať s partnerom, ktorý rovnako deklaroval dostatočné odborné a administratívne kapacity potrebné na úspešnú implementáciu projektu.</w:t>
      </w:r>
      <w:r w:rsidR="005E181C" w:rsidRPr="006C3EA1">
        <w:rPr>
          <w:sz w:val="22"/>
          <w:szCs w:val="22"/>
        </w:rPr>
        <w:t xml:space="preserve"> MIRRI SR zabezpečí riadenie projektu prostredníctvom projektového a finančného manažéra a MV SR prostredníctvom finančného manažéra. </w:t>
      </w:r>
    </w:p>
    <w:p w:rsidR="0000013D" w:rsidRPr="0000013D" w:rsidRDefault="0000013D" w:rsidP="0000013D">
      <w:pPr>
        <w:rPr>
          <w:rFonts w:ascii="Times New Roman" w:hAnsi="Times New Roman" w:cs="Times New Roman"/>
        </w:rPr>
      </w:pPr>
    </w:p>
    <w:p w:rsidR="0000013D" w:rsidRPr="0000013D" w:rsidRDefault="0000013D" w:rsidP="0000013D">
      <w:pPr>
        <w:pStyle w:val="Odsekzoznamu"/>
        <w:numPr>
          <w:ilvl w:val="0"/>
          <w:numId w:val="2"/>
        </w:numPr>
        <w:ind w:left="284" w:hanging="284"/>
        <w:jc w:val="both"/>
      </w:pPr>
      <w:r w:rsidRPr="0000013D">
        <w:t>Vysvetlite hlavné ciele NP (stručne):</w:t>
      </w:r>
    </w:p>
    <w:p w:rsidR="0000013D" w:rsidRPr="0000013D" w:rsidRDefault="0000013D" w:rsidP="0000013D">
      <w:pPr>
        <w:ind w:left="284" w:firstLine="16"/>
        <w:jc w:val="both"/>
        <w:rPr>
          <w:rFonts w:ascii="Times New Roman" w:hAnsi="Times New Roman" w:cs="Times New Roman"/>
          <w:i/>
        </w:rPr>
      </w:pPr>
      <w:r w:rsidRPr="0000013D">
        <w:rPr>
          <w:rFonts w:ascii="Times New Roman" w:hAnsi="Times New Roman" w:cs="Times New Roman"/>
          <w:i/>
        </w:rPr>
        <w:t>(očakávaný prínos k plneniu strategických dokumentov, k socio-ekonomickému rozvoju oblasti pokrytej OP, k dosiahnutiu cieľov a výsledkov príslušnej prioritnej osi/špecifického cieľa)</w:t>
      </w:r>
    </w:p>
    <w:p w:rsidR="0000013D" w:rsidRPr="0000013D" w:rsidRDefault="0000013D" w:rsidP="0000013D">
      <w:pPr>
        <w:rPr>
          <w:rFonts w:ascii="Times New Roman" w:hAnsi="Times New Roman" w:cs="Times New Roman"/>
        </w:rPr>
      </w:pPr>
    </w:p>
    <w:p w:rsidR="005B4F93" w:rsidRDefault="0000013D" w:rsidP="0000013D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 xml:space="preserve">Cieľom projektu je </w:t>
      </w:r>
      <w:r w:rsidR="00715229">
        <w:rPr>
          <w:rFonts w:ascii="Times New Roman" w:hAnsi="Times New Roman" w:cs="Times New Roman"/>
        </w:rPr>
        <w:t>pokrytie</w:t>
      </w:r>
      <w:r w:rsidR="00715229" w:rsidRPr="005B4F93">
        <w:rPr>
          <w:rFonts w:ascii="Times New Roman" w:hAnsi="Times New Roman" w:cs="Times New Roman"/>
        </w:rPr>
        <w:t xml:space="preserve"> </w:t>
      </w:r>
      <w:r w:rsidR="005B4F93" w:rsidRPr="00AD75A3">
        <w:rPr>
          <w:rFonts w:ascii="Times New Roman" w:hAnsi="Times New Roman" w:cs="Times New Roman"/>
        </w:rPr>
        <w:t>potrieb skupiny utečencov s dočasným útočiskom, ktorí prišli na Slovensko v období marec – november 2022</w:t>
      </w:r>
      <w:r w:rsidR="005B4F93">
        <w:rPr>
          <w:rFonts w:ascii="Times New Roman" w:hAnsi="Times New Roman" w:cs="Times New Roman"/>
        </w:rPr>
        <w:t xml:space="preserve"> prostredníctvom </w:t>
      </w:r>
      <w:r w:rsidR="00715229">
        <w:rPr>
          <w:rFonts w:ascii="Times New Roman" w:hAnsi="Times New Roman" w:cs="Times New Roman"/>
        </w:rPr>
        <w:t xml:space="preserve">finančnej podpory </w:t>
      </w:r>
      <w:r w:rsidR="005B4F93">
        <w:rPr>
          <w:rFonts w:ascii="Times New Roman" w:hAnsi="Times New Roman" w:cs="Times New Roman"/>
        </w:rPr>
        <w:t xml:space="preserve">orgánov </w:t>
      </w:r>
      <w:r w:rsidRPr="0000013D">
        <w:rPr>
          <w:rFonts w:ascii="Times New Roman" w:hAnsi="Times New Roman" w:cs="Times New Roman"/>
        </w:rPr>
        <w:t>štátnej správy</w:t>
      </w:r>
      <w:r w:rsidR="005B4F93">
        <w:rPr>
          <w:rFonts w:ascii="Times New Roman" w:hAnsi="Times New Roman" w:cs="Times New Roman"/>
        </w:rPr>
        <w:t xml:space="preserve">, </w:t>
      </w:r>
      <w:r w:rsidRPr="0000013D">
        <w:rPr>
          <w:rFonts w:ascii="Times New Roman" w:hAnsi="Times New Roman" w:cs="Times New Roman"/>
        </w:rPr>
        <w:t xml:space="preserve">pri prijímaní a okamžitej pomoci </w:t>
      </w:r>
      <w:r w:rsidR="005B4F93">
        <w:rPr>
          <w:rFonts w:ascii="Times New Roman" w:hAnsi="Times New Roman" w:cs="Times New Roman"/>
        </w:rPr>
        <w:t>týmto osobám</w:t>
      </w:r>
      <w:r w:rsidRPr="0000013D">
        <w:rPr>
          <w:rFonts w:ascii="Times New Roman" w:hAnsi="Times New Roman" w:cs="Times New Roman"/>
        </w:rPr>
        <w:t xml:space="preserve"> v súvislosti s ozbrojeným konfliktom na území Ukrajiny prostredníctvom FAST CARE. Vojenský konflikt na Ukrajine trvá už</w:t>
      </w:r>
      <w:r w:rsidR="002B2BEA">
        <w:rPr>
          <w:rFonts w:ascii="Times New Roman" w:hAnsi="Times New Roman" w:cs="Times New Roman"/>
        </w:rPr>
        <w:t xml:space="preserve"> </w:t>
      </w:r>
      <w:r w:rsidRPr="0000013D">
        <w:rPr>
          <w:rFonts w:ascii="Times New Roman" w:hAnsi="Times New Roman" w:cs="Times New Roman"/>
        </w:rPr>
        <w:t>takmer 1</w:t>
      </w:r>
      <w:r w:rsidR="00471B09">
        <w:rPr>
          <w:rFonts w:ascii="Times New Roman" w:hAnsi="Times New Roman" w:cs="Times New Roman"/>
        </w:rPr>
        <w:t>2</w:t>
      </w:r>
      <w:r w:rsidRPr="0000013D">
        <w:rPr>
          <w:rFonts w:ascii="Times New Roman" w:hAnsi="Times New Roman" w:cs="Times New Roman"/>
        </w:rPr>
        <w:t xml:space="preserve"> mesiacov. Od začiatku invázie Ruskou federáciou sa slovenská spoločnosť zomkla a hľadá rôzne formy pomoci obetiam konfliktu, prevažne tým, ktorí sa rozhodli hľadať útočisko na našom území. </w:t>
      </w:r>
    </w:p>
    <w:p w:rsidR="0000013D" w:rsidRPr="0000013D" w:rsidRDefault="0000013D" w:rsidP="0000013D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>Na pobyt na Slovensku stačí platný biometrický pas Ukrajiny. Najrýchlejšou formou ochrany je požiadať o dočasné útočisko. Vďaka tomu môžu dostať odídenci prístup k ubytovaniu, strave, zdravotnej starostlivosti a možnosť pracovať na Slovensku.</w:t>
      </w:r>
    </w:p>
    <w:p w:rsidR="00715229" w:rsidRDefault="00715229" w:rsidP="005B4F93">
      <w:pPr>
        <w:jc w:val="both"/>
        <w:rPr>
          <w:rFonts w:ascii="Times New Roman" w:hAnsi="Times New Roman" w:cs="Times New Roman"/>
        </w:rPr>
      </w:pPr>
    </w:p>
    <w:p w:rsidR="005B4F93" w:rsidRDefault="005B4F93" w:rsidP="005B4F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Sektor štátnej správy</w:t>
      </w:r>
      <w:r w:rsidRPr="005B4F93">
        <w:rPr>
          <w:rFonts w:ascii="Times New Roman" w:hAnsi="Times New Roman" w:cs="Times New Roman"/>
        </w:rPr>
        <w:t xml:space="preserve"> vynaložil značné sumy na podporu základných potrieb registrovaných utečencov, počnúc ich prvým prijatím, poskytnutím prístrešia, zabezpečením stravy, spotrebného materiálu, špecifickou materiálnou pomocou (v prípade potreby deťom alebo postihnutým), poradenstvom, zdravotnou a psychologickou pomocou a administratívnou podporou vrátane tlmočenia. </w:t>
      </w:r>
    </w:p>
    <w:p w:rsidR="006F1A87" w:rsidRPr="005B4F93" w:rsidRDefault="006A53C2" w:rsidP="006A53C2">
      <w:pPr>
        <w:jc w:val="both"/>
        <w:rPr>
          <w:rFonts w:ascii="Times New Roman" w:hAnsi="Times New Roman" w:cs="Times New Roman"/>
        </w:rPr>
      </w:pPr>
      <w:r w:rsidRPr="00107D87">
        <w:rPr>
          <w:rFonts w:ascii="Times New Roman" w:hAnsi="Times New Roman" w:cs="Times New Roman"/>
        </w:rPr>
        <w:t xml:space="preserve">V nadväznosti </w:t>
      </w:r>
      <w:r w:rsidRPr="005B4F93">
        <w:rPr>
          <w:rFonts w:ascii="Times New Roman" w:hAnsi="Times New Roman" w:cs="Times New Roman"/>
        </w:rPr>
        <w:t>na stratégiu dokumentu k programu IROP a tematického cieľa 9:</w:t>
      </w:r>
      <w:r w:rsidR="006F1A87" w:rsidRPr="005B4F93">
        <w:rPr>
          <w:rFonts w:ascii="Times New Roman" w:hAnsi="Times New Roman" w:cs="Times New Roman"/>
        </w:rPr>
        <w:t xml:space="preserve"> </w:t>
      </w:r>
      <w:r w:rsidRPr="005B4F93">
        <w:rPr>
          <w:rFonts w:ascii="Times New Roman" w:hAnsi="Times New Roman" w:cs="Times New Roman"/>
        </w:rPr>
        <w:t>„</w:t>
      </w:r>
      <w:r w:rsidR="006F1A87" w:rsidRPr="005B4F93">
        <w:rPr>
          <w:rFonts w:ascii="Times New Roman" w:hAnsi="Times New Roman" w:cs="Times New Roman"/>
        </w:rPr>
        <w:t>Podpora sociálneho začlenenia, boj proti chudobe a akejkoľvek diskriminácii</w:t>
      </w:r>
      <w:r w:rsidRPr="005B4F93">
        <w:rPr>
          <w:rFonts w:ascii="Times New Roman" w:hAnsi="Times New Roman" w:cs="Times New Roman"/>
        </w:rPr>
        <w:t>“, investičnej priority i) „</w:t>
      </w:r>
      <w:r w:rsidR="006F1A87" w:rsidRPr="005B4F93">
        <w:rPr>
          <w:rFonts w:ascii="Times New Roman" w:hAnsi="Times New Roman" w:cs="Times New Roman"/>
        </w:rPr>
        <w:t>Aktívne začlenenie, a to aj s cieľom pod</w:t>
      </w:r>
      <w:r w:rsidR="006F1A87" w:rsidRPr="00715229">
        <w:rPr>
          <w:rFonts w:ascii="Times New Roman" w:hAnsi="Times New Roman" w:cs="Times New Roman"/>
        </w:rPr>
        <w:t>porovať rovnaké príležitosti a aktívnu účasť a zlepšenie zamestnateľnosti</w:t>
      </w:r>
      <w:r w:rsidRPr="00715229">
        <w:rPr>
          <w:rFonts w:ascii="Times New Roman" w:hAnsi="Times New Roman" w:cs="Times New Roman"/>
        </w:rPr>
        <w:t>“</w:t>
      </w:r>
      <w:r w:rsidRPr="00107D87">
        <w:rPr>
          <w:rFonts w:ascii="Times New Roman" w:hAnsi="Times New Roman" w:cs="Times New Roman"/>
        </w:rPr>
        <w:t>, zámer projektu prispieva k nap</w:t>
      </w:r>
      <w:r w:rsidRPr="005B4F93">
        <w:rPr>
          <w:rFonts w:ascii="Times New Roman" w:hAnsi="Times New Roman" w:cs="Times New Roman"/>
        </w:rPr>
        <w:t>lneniu cieľov a stratégie OP IROP.</w:t>
      </w:r>
    </w:p>
    <w:p w:rsidR="00107D87" w:rsidRPr="00715229" w:rsidRDefault="00107D87" w:rsidP="006A53C2">
      <w:pPr>
        <w:jc w:val="both"/>
        <w:rPr>
          <w:rFonts w:ascii="Times New Roman" w:hAnsi="Times New Roman" w:cs="Times New Roman"/>
        </w:rPr>
      </w:pPr>
      <w:r w:rsidRPr="005B4F93">
        <w:rPr>
          <w:rFonts w:ascii="Times New Roman" w:hAnsi="Times New Roman" w:cs="Times New Roman"/>
        </w:rPr>
        <w:lastRenderedPageBreak/>
        <w:t>Opatrenia definované v tematickom cieli 9 IROP pomôžu</w:t>
      </w:r>
      <w:r w:rsidRPr="00715229">
        <w:rPr>
          <w:rFonts w:ascii="Times New Roman" w:hAnsi="Times New Roman" w:cs="Times New Roman"/>
        </w:rPr>
        <w:t xml:space="preserve"> riešiť migračné výzvy spôsobené vojenskou agresiou voči Ukrajine.</w:t>
      </w:r>
    </w:p>
    <w:p w:rsidR="00AC59EF" w:rsidRPr="0000013D" w:rsidRDefault="00AC59EF" w:rsidP="0000013D">
      <w:pPr>
        <w:jc w:val="both"/>
        <w:rPr>
          <w:rFonts w:ascii="Times New Roman" w:hAnsi="Times New Roman" w:cs="Times New Roman"/>
        </w:rPr>
      </w:pPr>
    </w:p>
    <w:p w:rsidR="0000013D" w:rsidRPr="0000013D" w:rsidRDefault="0000013D" w:rsidP="0000013D">
      <w:pPr>
        <w:pStyle w:val="Odsekzoznamu"/>
        <w:numPr>
          <w:ilvl w:val="0"/>
          <w:numId w:val="2"/>
        </w:numPr>
        <w:ind w:left="284" w:hanging="284"/>
        <w:contextualSpacing w:val="0"/>
        <w:jc w:val="both"/>
      </w:pPr>
      <w:r w:rsidRPr="0000013D">
        <w:t>Očakávaný stav a merateľné ciele</w:t>
      </w:r>
    </w:p>
    <w:tbl>
      <w:tblPr>
        <w:tblpPr w:leftFromText="141" w:rightFromText="141" w:vertAnchor="text" w:horzAnchor="margin" w:tblpY="23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842"/>
        <w:gridCol w:w="1560"/>
        <w:gridCol w:w="1701"/>
      </w:tblGrid>
      <w:tr w:rsidR="0000013D" w:rsidRPr="0000013D" w:rsidTr="00EC428E">
        <w:trPr>
          <w:cantSplit/>
          <w:trHeight w:val="632"/>
          <w:tblHeader/>
        </w:trPr>
        <w:tc>
          <w:tcPr>
            <w:tcW w:w="9067" w:type="dxa"/>
            <w:gridSpan w:val="5"/>
            <w:shd w:val="clear" w:color="auto" w:fill="FFE599" w:themeFill="accent4" w:themeFillTint="66"/>
            <w:vAlign w:val="center"/>
          </w:tcPr>
          <w:p w:rsidR="0000013D" w:rsidRPr="0000013D" w:rsidRDefault="0000013D" w:rsidP="00EC428E">
            <w:pPr>
              <w:keepNext/>
              <w:keepLines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V tejto časti popíšte očakávané výsledky projektu s konkrétnym prínosom vo vzťahu k rozvoju oblasti pokrytej operačným programom a zrealizovaniu aktivít. V tabuľke nižšie uveďte projektové ukazovatele a iné údaje.  Projektové ukazovatele musia byť definované tak, </w:t>
            </w:r>
            <w:r w:rsidRPr="0000013D">
              <w:rPr>
                <w:rFonts w:ascii="Times New Roman" w:hAnsi="Times New Roman" w:cs="Times New Roman"/>
              </w:rPr>
              <w:br/>
              <w:t>aby odrážali výstupy/výsledky projektu a predstavovali kvantifikáciu toho, čo sa realizáciou aktivít za požadované výdavky dosiahne.</w:t>
            </w:r>
            <w:r w:rsidRPr="0000013D">
              <w:rPr>
                <w:rStyle w:val="Odkaznapoznmkupodiarou"/>
                <w:rFonts w:ascii="Times New Roman" w:hAnsi="Times New Roman"/>
              </w:rPr>
              <w:footnoteReference w:id="6"/>
            </w:r>
          </w:p>
        </w:tc>
      </w:tr>
      <w:tr w:rsidR="0000013D" w:rsidRPr="0000013D" w:rsidTr="00EC428E">
        <w:trPr>
          <w:cantSplit/>
          <w:trHeight w:val="632"/>
          <w:tblHeader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00013D" w:rsidRPr="0000013D" w:rsidRDefault="0000013D" w:rsidP="00EC428E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Cieľ  národného projektu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00013D" w:rsidRPr="0000013D" w:rsidRDefault="0000013D" w:rsidP="00EC428E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Merateľný ukazovateľ</w:t>
            </w:r>
          </w:p>
        </w:tc>
        <w:tc>
          <w:tcPr>
            <w:tcW w:w="1842" w:type="dxa"/>
            <w:shd w:val="clear" w:color="auto" w:fill="FFE599" w:themeFill="accent4" w:themeFillTint="66"/>
            <w:vAlign w:val="center"/>
          </w:tcPr>
          <w:p w:rsidR="0000013D" w:rsidRPr="0000013D" w:rsidRDefault="0000013D" w:rsidP="00EC428E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Indikatívna cieľová hodnota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Aktivita projektu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keepNext/>
              <w:keepLines/>
              <w:tabs>
                <w:tab w:val="left" w:pos="1290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Súvisiaci programový ukazovateľ</w:t>
            </w:r>
            <w:r w:rsidRPr="0000013D">
              <w:rPr>
                <w:rStyle w:val="Odkaznapoznmkupodiarou"/>
                <w:rFonts w:ascii="Times New Roman" w:hAnsi="Times New Roman"/>
              </w:rPr>
              <w:footnoteReference w:id="7"/>
            </w:r>
          </w:p>
        </w:tc>
      </w:tr>
      <w:tr w:rsidR="0000013D" w:rsidRPr="0000013D" w:rsidTr="00EC428E">
        <w:trPr>
          <w:cantSplit/>
          <w:trHeight w:val="406"/>
        </w:trPr>
        <w:tc>
          <w:tcPr>
            <w:tcW w:w="1980" w:type="dxa"/>
            <w:vAlign w:val="center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Podpora štátnej správy pri prijímaní a okamžitej pomoci utečencom</w:t>
            </w:r>
          </w:p>
        </w:tc>
        <w:tc>
          <w:tcPr>
            <w:tcW w:w="1984" w:type="dxa"/>
          </w:tcPr>
          <w:p w:rsidR="0000013D" w:rsidRPr="00715229" w:rsidRDefault="0085748A" w:rsidP="00857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osôb nad 18 rokov, ktorým bola poskytnutá intervencia (CARE)</w:t>
            </w:r>
            <w:r w:rsidR="00690A44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842" w:type="dxa"/>
          </w:tcPr>
          <w:p w:rsidR="0000013D" w:rsidRPr="0000013D" w:rsidRDefault="00C32540" w:rsidP="00A74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27 830</w:t>
            </w:r>
          </w:p>
        </w:tc>
        <w:tc>
          <w:tcPr>
            <w:tcW w:w="1560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Podpora štátnej správy pri prijímaní a okamžitej pomoci utečencom</w:t>
            </w:r>
          </w:p>
        </w:tc>
        <w:tc>
          <w:tcPr>
            <w:tcW w:w="1701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Celkový počet podpor</w:t>
            </w:r>
            <w:r w:rsidR="006E10A1">
              <w:rPr>
                <w:rFonts w:ascii="Times New Roman" w:hAnsi="Times New Roman" w:cs="Times New Roman"/>
              </w:rPr>
              <w:t>ova</w:t>
            </w:r>
            <w:r w:rsidRPr="0000013D">
              <w:rPr>
                <w:rFonts w:ascii="Times New Roman" w:hAnsi="Times New Roman" w:cs="Times New Roman"/>
              </w:rPr>
              <w:t>ných osôb</w:t>
            </w:r>
          </w:p>
        </w:tc>
      </w:tr>
      <w:tr w:rsidR="0000013D" w:rsidRPr="0000013D" w:rsidTr="00EC428E">
        <w:trPr>
          <w:cantSplit/>
          <w:trHeight w:val="406"/>
        </w:trPr>
        <w:tc>
          <w:tcPr>
            <w:tcW w:w="1980" w:type="dxa"/>
            <w:vAlign w:val="center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Podpora štátnej správy pri prijímaní a okamžitej pomoci utečencom</w:t>
            </w:r>
          </w:p>
        </w:tc>
        <w:tc>
          <w:tcPr>
            <w:tcW w:w="1984" w:type="dxa"/>
          </w:tcPr>
          <w:p w:rsidR="0000013D" w:rsidRPr="00715229" w:rsidRDefault="0085748A" w:rsidP="00857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osôb do 18 rokov</w:t>
            </w:r>
            <w:r w:rsidR="00690A44">
              <w:rPr>
                <w:rFonts w:ascii="Times New Roman" w:hAnsi="Times New Roman" w:cs="Times New Roman"/>
              </w:rPr>
              <w:t>, ktorým bola poskytnutá intervencia (CARE)</w:t>
            </w:r>
          </w:p>
        </w:tc>
        <w:tc>
          <w:tcPr>
            <w:tcW w:w="1842" w:type="dxa"/>
          </w:tcPr>
          <w:p w:rsidR="0000013D" w:rsidRPr="0000013D" w:rsidRDefault="00C32540" w:rsidP="00EC4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16 604</w:t>
            </w:r>
          </w:p>
        </w:tc>
        <w:tc>
          <w:tcPr>
            <w:tcW w:w="1560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Podpora štátnej správy pri prijímaní a okamžitej pomoci utečencom</w:t>
            </w:r>
          </w:p>
        </w:tc>
        <w:tc>
          <w:tcPr>
            <w:tcW w:w="1701" w:type="dxa"/>
          </w:tcPr>
          <w:p w:rsidR="0000013D" w:rsidRPr="0000013D" w:rsidRDefault="0000013D" w:rsidP="00906493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Počet detí </w:t>
            </w:r>
            <w:r w:rsidR="00906493">
              <w:rPr>
                <w:rFonts w:ascii="Times New Roman" w:hAnsi="Times New Roman" w:cs="Times New Roman"/>
              </w:rPr>
              <w:t>vo veku menej ako</w:t>
            </w:r>
            <w:r w:rsidRPr="0000013D">
              <w:rPr>
                <w:rFonts w:ascii="Times New Roman" w:hAnsi="Times New Roman" w:cs="Times New Roman"/>
              </w:rPr>
              <w:t xml:space="preserve"> 18 rokov</w:t>
            </w:r>
          </w:p>
        </w:tc>
      </w:tr>
      <w:tr w:rsidR="0000013D" w:rsidRPr="0000013D" w:rsidTr="00EC428E">
        <w:trPr>
          <w:cantSplit/>
          <w:trHeight w:val="447"/>
        </w:trPr>
        <w:tc>
          <w:tcPr>
            <w:tcW w:w="9067" w:type="dxa"/>
            <w:gridSpan w:val="5"/>
            <w:shd w:val="clear" w:color="auto" w:fill="FFE599" w:themeFill="accent4" w:themeFillTint="66"/>
          </w:tcPr>
          <w:p w:rsidR="0000013D" w:rsidRPr="0000013D" w:rsidRDefault="0000013D" w:rsidP="00EC428E">
            <w:pPr>
              <w:jc w:val="both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Iné údaje, ktorými je možné sledovať napĺňanie cieľov národného projektu (ak relevantné)</w:t>
            </w:r>
          </w:p>
        </w:tc>
      </w:tr>
      <w:tr w:rsidR="0000013D" w:rsidRPr="0000013D" w:rsidTr="00EC428E">
        <w:trPr>
          <w:cantSplit/>
          <w:trHeight w:val="447"/>
        </w:trPr>
        <w:tc>
          <w:tcPr>
            <w:tcW w:w="1980" w:type="dxa"/>
            <w:shd w:val="clear" w:color="auto" w:fill="FFE599" w:themeFill="accent4" w:themeFillTint="66"/>
            <w:vAlign w:val="center"/>
          </w:tcPr>
          <w:p w:rsidR="0000013D" w:rsidRPr="0000013D" w:rsidRDefault="0000013D" w:rsidP="00EC428E">
            <w:pPr>
              <w:jc w:val="center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Cieľ národného projektu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00013D" w:rsidRPr="0000013D" w:rsidRDefault="0000013D" w:rsidP="00EC428E">
            <w:pPr>
              <w:jc w:val="center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Ukazovateľ</w:t>
            </w:r>
          </w:p>
        </w:tc>
        <w:tc>
          <w:tcPr>
            <w:tcW w:w="1842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jc w:val="center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Indikatívna cieľová hodnota</w:t>
            </w:r>
          </w:p>
        </w:tc>
        <w:tc>
          <w:tcPr>
            <w:tcW w:w="3261" w:type="dxa"/>
            <w:gridSpan w:val="2"/>
            <w:shd w:val="clear" w:color="auto" w:fill="FFE599" w:themeFill="accent4" w:themeFillTint="66"/>
          </w:tcPr>
          <w:p w:rsidR="0000013D" w:rsidRPr="0000013D" w:rsidRDefault="0000013D" w:rsidP="00EC428E">
            <w:pPr>
              <w:jc w:val="center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Aktivita projektu</w:t>
            </w:r>
          </w:p>
        </w:tc>
      </w:tr>
      <w:tr w:rsidR="0000013D" w:rsidRPr="0000013D" w:rsidTr="00EC428E">
        <w:trPr>
          <w:cantSplit/>
          <w:trHeight w:val="447"/>
        </w:trPr>
        <w:tc>
          <w:tcPr>
            <w:tcW w:w="1980" w:type="dxa"/>
            <w:shd w:val="clear" w:color="auto" w:fill="auto"/>
            <w:vAlign w:val="center"/>
          </w:tcPr>
          <w:p w:rsidR="0000013D" w:rsidRPr="0000013D" w:rsidRDefault="0000013D" w:rsidP="00EC4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0013D" w:rsidRPr="0000013D" w:rsidRDefault="0000013D" w:rsidP="00EC4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0013D" w:rsidRPr="0000013D" w:rsidRDefault="0000013D" w:rsidP="00EC4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00013D" w:rsidRPr="0000013D" w:rsidRDefault="0000013D" w:rsidP="00EC4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0013D" w:rsidRPr="0000013D" w:rsidRDefault="0000013D" w:rsidP="00EC42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013D" w:rsidRPr="0000013D" w:rsidRDefault="0000013D" w:rsidP="0000013D">
      <w:pPr>
        <w:spacing w:line="276" w:lineRule="auto"/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  <w:i/>
        </w:rPr>
        <w:t>V prípade viacerých merateľných ukazovateľov, doplňte údaje za každý merateľný ukazovateľ.</w:t>
      </w:r>
    </w:p>
    <w:p w:rsidR="0000013D" w:rsidRPr="0000013D" w:rsidRDefault="0000013D" w:rsidP="0000013D">
      <w:pPr>
        <w:rPr>
          <w:rFonts w:ascii="Times New Roman" w:hAnsi="Times New Roman" w:cs="Times New Roman"/>
        </w:rPr>
      </w:pPr>
    </w:p>
    <w:p w:rsidR="0000013D" w:rsidRPr="0000013D" w:rsidRDefault="0000013D" w:rsidP="0000013D">
      <w:pPr>
        <w:pStyle w:val="Odsekzoznamu"/>
        <w:numPr>
          <w:ilvl w:val="0"/>
          <w:numId w:val="2"/>
        </w:numPr>
        <w:ind w:left="426" w:hanging="426"/>
        <w:jc w:val="both"/>
      </w:pPr>
      <w:r w:rsidRPr="0000013D">
        <w:t>Bližší popis merateľných ukazovateľov.</w:t>
      </w:r>
      <w:r w:rsidRPr="0000013D">
        <w:rPr>
          <w:rStyle w:val="Odkaznapoznmkupodiarou"/>
        </w:rPr>
        <w:footnoteReference w:id="8"/>
      </w:r>
      <w:r w:rsidRPr="0000013D"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6607"/>
      </w:tblGrid>
      <w:tr w:rsidR="0000013D" w:rsidRPr="0000013D" w:rsidTr="00EC428E">
        <w:trPr>
          <w:cantSplit/>
          <w:tblHeader/>
        </w:trPr>
        <w:tc>
          <w:tcPr>
            <w:tcW w:w="9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00013D" w:rsidRPr="0000013D" w:rsidRDefault="0000013D" w:rsidP="00EC428E">
            <w:pPr>
              <w:pStyle w:val="Bulle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 w:rsidRPr="0000013D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 xml:space="preserve">Predmetná časť sa týka projektových ukazovateľov </w:t>
            </w:r>
          </w:p>
        </w:tc>
      </w:tr>
      <w:tr w:rsidR="0000013D" w:rsidRPr="0000013D" w:rsidTr="00EC428E">
        <w:trPr>
          <w:cantSplit/>
          <w:tblHeader/>
        </w:trPr>
        <w:tc>
          <w:tcPr>
            <w:tcW w:w="2489" w:type="dxa"/>
            <w:shd w:val="clear" w:color="auto" w:fill="FFE599" w:themeFill="accent4" w:themeFillTint="66"/>
            <w:vAlign w:val="center"/>
          </w:tcPr>
          <w:p w:rsidR="0000013D" w:rsidRPr="0000013D" w:rsidRDefault="0000013D" w:rsidP="00EC428E">
            <w:pPr>
              <w:keepNext/>
              <w:tabs>
                <w:tab w:val="left" w:pos="1290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Názov merateľného ukazovateľa</w:t>
            </w:r>
            <w:r w:rsidRPr="0000013D">
              <w:rPr>
                <w:rStyle w:val="Odkaznapoznmkupodiarou"/>
                <w:rFonts w:ascii="Times New Roman" w:hAnsi="Times New Roman"/>
                <w:sz w:val="20"/>
                <w:szCs w:val="20"/>
              </w:rPr>
              <w:footnoteReference w:id="9"/>
            </w:r>
          </w:p>
        </w:tc>
        <w:tc>
          <w:tcPr>
            <w:tcW w:w="6607" w:type="dxa"/>
            <w:shd w:val="clear" w:color="auto" w:fill="auto"/>
            <w:vAlign w:val="center"/>
          </w:tcPr>
          <w:p w:rsidR="0000013D" w:rsidRPr="00743FB1" w:rsidRDefault="00743FB1" w:rsidP="00EC428E">
            <w:pPr>
              <w:pStyle w:val="Bulle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sz w:val="22"/>
                <w:szCs w:val="22"/>
                <w:lang w:eastAsia="sk-SK"/>
              </w:rPr>
              <w:t>Počet osôb nad 18 rokov</w:t>
            </w:r>
            <w:r w:rsidR="00FA4424">
              <w:rPr>
                <w:rFonts w:ascii="Times New Roman" w:hAnsi="Times New Roman"/>
                <w:sz w:val="22"/>
                <w:szCs w:val="22"/>
                <w:lang w:eastAsia="sk-SK"/>
              </w:rPr>
              <w:t>, ktorým bola poskytnutá intervencia (CARE)</w:t>
            </w:r>
            <w:r w:rsidR="0000013D" w:rsidRPr="00743FB1">
              <w:rPr>
                <w:rFonts w:ascii="Times New Roman" w:hAnsi="Times New Roman"/>
                <w:sz w:val="22"/>
                <w:szCs w:val="22"/>
                <w:lang w:eastAsia="sk-SK"/>
              </w:rPr>
              <w:t xml:space="preserve"> (MRR)</w:t>
            </w:r>
          </w:p>
          <w:p w:rsidR="00126959" w:rsidRPr="0000013D" w:rsidRDefault="00126959" w:rsidP="00743FB1">
            <w:pPr>
              <w:pStyle w:val="Bulle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43FB1">
              <w:rPr>
                <w:rFonts w:ascii="Times New Roman" w:hAnsi="Times New Roman"/>
                <w:sz w:val="22"/>
                <w:szCs w:val="22"/>
                <w:lang w:eastAsia="sk-SK"/>
              </w:rPr>
              <w:t xml:space="preserve">Počet </w:t>
            </w:r>
            <w:r w:rsidR="00743FB1">
              <w:rPr>
                <w:rFonts w:ascii="Times New Roman" w:hAnsi="Times New Roman"/>
                <w:sz w:val="22"/>
                <w:szCs w:val="22"/>
                <w:lang w:eastAsia="sk-SK"/>
              </w:rPr>
              <w:t>osôb</w:t>
            </w:r>
            <w:r w:rsidR="00743FB1" w:rsidRPr="00743FB1">
              <w:rPr>
                <w:rFonts w:ascii="Times New Roman" w:hAnsi="Times New Roman"/>
                <w:sz w:val="22"/>
                <w:szCs w:val="22"/>
                <w:lang w:eastAsia="sk-SK"/>
              </w:rPr>
              <w:t xml:space="preserve"> </w:t>
            </w:r>
            <w:r w:rsidRPr="00743FB1">
              <w:rPr>
                <w:rFonts w:ascii="Times New Roman" w:hAnsi="Times New Roman"/>
                <w:sz w:val="22"/>
                <w:szCs w:val="22"/>
                <w:lang w:eastAsia="sk-SK"/>
              </w:rPr>
              <w:t>do 18 rokov</w:t>
            </w:r>
            <w:r w:rsidR="00FA4424">
              <w:rPr>
                <w:rFonts w:ascii="Times New Roman" w:hAnsi="Times New Roman"/>
                <w:sz w:val="22"/>
                <w:szCs w:val="22"/>
                <w:lang w:eastAsia="sk-SK"/>
              </w:rPr>
              <w:t>, ktorým bola poskytnutá intervencia (CARE)</w:t>
            </w:r>
            <w:r w:rsidRPr="00743FB1">
              <w:rPr>
                <w:rFonts w:ascii="Times New Roman" w:hAnsi="Times New Roman"/>
                <w:sz w:val="22"/>
                <w:szCs w:val="22"/>
                <w:lang w:eastAsia="sk-SK"/>
              </w:rPr>
              <w:t xml:space="preserve"> (MRR)</w:t>
            </w:r>
          </w:p>
        </w:tc>
      </w:tr>
      <w:tr w:rsidR="0000013D" w:rsidRPr="0000013D" w:rsidTr="00EC428E">
        <w:trPr>
          <w:cantSplit/>
          <w:tblHeader/>
        </w:trPr>
        <w:tc>
          <w:tcPr>
            <w:tcW w:w="2489" w:type="dxa"/>
            <w:shd w:val="clear" w:color="auto" w:fill="FFE599" w:themeFill="accent4" w:themeFillTint="66"/>
            <w:vAlign w:val="center"/>
          </w:tcPr>
          <w:p w:rsidR="0000013D" w:rsidRPr="0000013D" w:rsidRDefault="0000013D" w:rsidP="00EC428E">
            <w:pPr>
              <w:keepNext/>
              <w:tabs>
                <w:tab w:val="left" w:pos="1290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Akým spôsobom sa budú získavať dáta?</w:t>
            </w:r>
          </w:p>
        </w:tc>
        <w:tc>
          <w:tcPr>
            <w:tcW w:w="6607" w:type="dxa"/>
            <w:shd w:val="clear" w:color="auto" w:fill="auto"/>
            <w:vAlign w:val="center"/>
          </w:tcPr>
          <w:p w:rsidR="0000013D" w:rsidRPr="00743FB1" w:rsidRDefault="0000013D" w:rsidP="0083514D">
            <w:pPr>
              <w:pStyle w:val="Bulle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743FB1">
              <w:rPr>
                <w:rFonts w:ascii="Times New Roman" w:hAnsi="Times New Roman"/>
                <w:sz w:val="22"/>
                <w:szCs w:val="22"/>
              </w:rPr>
              <w:t xml:space="preserve">Zdroj údajov: Register MV SR o ubytovaných utečencoch v obciach </w:t>
            </w:r>
          </w:p>
        </w:tc>
      </w:tr>
      <w:tr w:rsidR="0000013D" w:rsidRPr="0000013D" w:rsidTr="00EC428E">
        <w:trPr>
          <w:cantSplit/>
        </w:trPr>
        <w:tc>
          <w:tcPr>
            <w:tcW w:w="2489" w:type="dxa"/>
            <w:shd w:val="clear" w:color="auto" w:fill="FFE599" w:themeFill="accent4" w:themeFillTint="66"/>
            <w:vAlign w:val="center"/>
          </w:tcPr>
          <w:p w:rsidR="0000013D" w:rsidRPr="0000013D" w:rsidDel="009523EC" w:rsidRDefault="0000013D" w:rsidP="00EC428E">
            <w:pPr>
              <w:keepNext/>
              <w:tabs>
                <w:tab w:val="left" w:pos="1290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Názov merateľného ukazovateľa</w:t>
            </w:r>
            <w:r w:rsidRPr="0000013D">
              <w:rPr>
                <w:rStyle w:val="Odkaznapoznmkupodiarou"/>
                <w:rFonts w:ascii="Times New Roman" w:hAnsi="Times New Roman"/>
                <w:sz w:val="20"/>
                <w:szCs w:val="20"/>
              </w:rPr>
              <w:footnoteReference w:id="10"/>
            </w:r>
          </w:p>
        </w:tc>
        <w:tc>
          <w:tcPr>
            <w:tcW w:w="6607" w:type="dxa"/>
            <w:vAlign w:val="center"/>
          </w:tcPr>
          <w:p w:rsidR="0000013D" w:rsidRPr="00743FB1" w:rsidRDefault="007021FC" w:rsidP="00EC428E">
            <w:pPr>
              <w:pStyle w:val="Bullet"/>
              <w:numPr>
                <w:ilvl w:val="0"/>
                <w:numId w:val="0"/>
              </w:num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sz w:val="22"/>
                <w:szCs w:val="22"/>
                <w:lang w:eastAsia="sk-SK"/>
              </w:rPr>
              <w:t>Počet osôb nad 18 rokov</w:t>
            </w:r>
            <w:r w:rsidR="00FA4424">
              <w:rPr>
                <w:rFonts w:ascii="Times New Roman" w:hAnsi="Times New Roman"/>
                <w:sz w:val="22"/>
                <w:szCs w:val="22"/>
                <w:lang w:eastAsia="sk-SK"/>
              </w:rPr>
              <w:t>, ktorým bola poskytnutá intervencia (CARE)</w:t>
            </w:r>
            <w:r w:rsidR="0000013D" w:rsidRPr="00743FB1">
              <w:rPr>
                <w:rFonts w:ascii="Times New Roman" w:hAnsi="Times New Roman"/>
                <w:sz w:val="22"/>
                <w:szCs w:val="22"/>
                <w:lang w:eastAsia="sk-SK"/>
              </w:rPr>
              <w:t xml:space="preserve"> (VRR)</w:t>
            </w:r>
          </w:p>
          <w:p w:rsidR="0000013D" w:rsidRPr="00743FB1" w:rsidRDefault="00126959" w:rsidP="007021FC">
            <w:pPr>
              <w:rPr>
                <w:rFonts w:ascii="Times New Roman" w:hAnsi="Times New Roman" w:cs="Times New Roman"/>
              </w:rPr>
            </w:pPr>
            <w:r w:rsidRPr="00743FB1">
              <w:rPr>
                <w:rFonts w:ascii="Times New Roman" w:hAnsi="Times New Roman" w:cs="Times New Roman"/>
              </w:rPr>
              <w:t xml:space="preserve">Počet </w:t>
            </w:r>
            <w:r w:rsidR="007021FC">
              <w:rPr>
                <w:rFonts w:ascii="Times New Roman" w:hAnsi="Times New Roman" w:cs="Times New Roman"/>
              </w:rPr>
              <w:t>osôb</w:t>
            </w:r>
            <w:r w:rsidR="007021FC" w:rsidRPr="00743FB1">
              <w:rPr>
                <w:rFonts w:ascii="Times New Roman" w:hAnsi="Times New Roman" w:cs="Times New Roman"/>
              </w:rPr>
              <w:t xml:space="preserve"> </w:t>
            </w:r>
            <w:r w:rsidRPr="00743FB1">
              <w:rPr>
                <w:rFonts w:ascii="Times New Roman" w:hAnsi="Times New Roman" w:cs="Times New Roman"/>
              </w:rPr>
              <w:t>do 18 rokov</w:t>
            </w:r>
            <w:r w:rsidR="00FA4424">
              <w:rPr>
                <w:rFonts w:ascii="Times New Roman" w:hAnsi="Times New Roman"/>
                <w:lang w:eastAsia="sk-SK"/>
              </w:rPr>
              <w:t>, ktorým bola poskytnutá intervencia (CARE)</w:t>
            </w:r>
            <w:r w:rsidRPr="00743FB1">
              <w:rPr>
                <w:rFonts w:ascii="Times New Roman" w:hAnsi="Times New Roman" w:cs="Times New Roman"/>
              </w:rPr>
              <w:t xml:space="preserve"> (VRR)</w:t>
            </w:r>
          </w:p>
        </w:tc>
      </w:tr>
      <w:tr w:rsidR="0000013D" w:rsidRPr="0000013D" w:rsidTr="00EC428E">
        <w:trPr>
          <w:cantSplit/>
        </w:trPr>
        <w:tc>
          <w:tcPr>
            <w:tcW w:w="2489" w:type="dxa"/>
            <w:shd w:val="clear" w:color="auto" w:fill="FFE599" w:themeFill="accent4" w:themeFillTint="66"/>
            <w:vAlign w:val="center"/>
          </w:tcPr>
          <w:p w:rsidR="0000013D" w:rsidRPr="0000013D" w:rsidDel="009523EC" w:rsidRDefault="0000013D" w:rsidP="00EC428E">
            <w:pPr>
              <w:keepNext/>
              <w:tabs>
                <w:tab w:val="left" w:pos="1290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Akým spôsobom sa budú získavať dáta?</w:t>
            </w:r>
          </w:p>
        </w:tc>
        <w:tc>
          <w:tcPr>
            <w:tcW w:w="6607" w:type="dxa"/>
            <w:vAlign w:val="center"/>
          </w:tcPr>
          <w:p w:rsidR="0000013D" w:rsidRPr="00743FB1" w:rsidRDefault="0000013D" w:rsidP="0083514D">
            <w:pPr>
              <w:rPr>
                <w:rFonts w:ascii="Times New Roman" w:hAnsi="Times New Roman" w:cs="Times New Roman"/>
              </w:rPr>
            </w:pPr>
            <w:r w:rsidRPr="00743FB1">
              <w:rPr>
                <w:rFonts w:ascii="Times New Roman" w:hAnsi="Times New Roman" w:cs="Times New Roman"/>
              </w:rPr>
              <w:t xml:space="preserve">Zdroj údajov: Register MV SR o ubytovaných utečencoch v obciach </w:t>
            </w:r>
          </w:p>
        </w:tc>
      </w:tr>
    </w:tbl>
    <w:p w:rsidR="0000013D" w:rsidRPr="0000013D" w:rsidRDefault="0000013D" w:rsidP="0000013D">
      <w:pPr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  <w:i/>
        </w:rPr>
        <w:t>V prípade viacerých merateľných ukazovateľov, doplňte údaje za každý z nich.</w:t>
      </w:r>
    </w:p>
    <w:p w:rsidR="0000013D" w:rsidRPr="0000013D" w:rsidRDefault="0000013D" w:rsidP="0000013D">
      <w:pPr>
        <w:rPr>
          <w:rFonts w:ascii="Times New Roman" w:hAnsi="Times New Roman" w:cs="Times New Roman"/>
          <w:i/>
        </w:rPr>
      </w:pPr>
    </w:p>
    <w:p w:rsidR="0000013D" w:rsidRPr="0000013D" w:rsidRDefault="0000013D" w:rsidP="0000013D">
      <w:pPr>
        <w:pStyle w:val="Odsekzoznamu"/>
        <w:numPr>
          <w:ilvl w:val="0"/>
          <w:numId w:val="2"/>
        </w:numPr>
        <w:jc w:val="both"/>
      </w:pPr>
      <w:r w:rsidRPr="0000013D">
        <w:t>Očakávané dopady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76"/>
        <w:gridCol w:w="3663"/>
      </w:tblGrid>
      <w:tr w:rsidR="0000013D" w:rsidRPr="0000013D" w:rsidTr="00EC428E">
        <w:trPr>
          <w:trHeight w:val="719"/>
        </w:trPr>
        <w:tc>
          <w:tcPr>
            <w:tcW w:w="9062" w:type="dxa"/>
            <w:gridSpan w:val="3"/>
            <w:shd w:val="clear" w:color="auto" w:fill="FFE599" w:themeFill="accent4" w:themeFillTint="66"/>
          </w:tcPr>
          <w:p w:rsidR="0000013D" w:rsidRPr="0000013D" w:rsidRDefault="0000013D" w:rsidP="00EC428E">
            <w:pPr>
              <w:jc w:val="both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Zoznam prínosov a prípadných iných dopadov, ktoré sa dajú očakávať </w:t>
            </w:r>
            <w:r w:rsidRPr="0000013D">
              <w:rPr>
                <w:rFonts w:ascii="Times New Roman" w:hAnsi="Times New Roman" w:cs="Times New Roman"/>
              </w:rPr>
              <w:br/>
              <w:t>pre jednotlivé cieľové skupiny</w:t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jc w:val="center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Dopady </w:t>
            </w:r>
          </w:p>
        </w:tc>
        <w:tc>
          <w:tcPr>
            <w:tcW w:w="1576" w:type="dxa"/>
          </w:tcPr>
          <w:p w:rsidR="0000013D" w:rsidRPr="0000013D" w:rsidRDefault="0000013D" w:rsidP="00EC428E">
            <w:pPr>
              <w:jc w:val="center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Cieľová skupina (ak relevantné)</w:t>
            </w:r>
          </w:p>
        </w:tc>
        <w:tc>
          <w:tcPr>
            <w:tcW w:w="3663" w:type="dxa"/>
          </w:tcPr>
          <w:p w:rsidR="0000013D" w:rsidRPr="0000013D" w:rsidRDefault="0000013D" w:rsidP="00EC428E">
            <w:pPr>
              <w:jc w:val="center"/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Počet</w:t>
            </w:r>
            <w:r w:rsidRPr="0000013D">
              <w:rPr>
                <w:rStyle w:val="Odkaznapoznmkupodiarou"/>
                <w:rFonts w:ascii="Times New Roman" w:hAnsi="Times New Roman"/>
              </w:rPr>
              <w:footnoteReference w:id="11"/>
            </w:r>
          </w:p>
        </w:tc>
      </w:tr>
      <w:tr w:rsidR="0000013D" w:rsidRPr="0000013D" w:rsidTr="00EC428E">
        <w:tc>
          <w:tcPr>
            <w:tcW w:w="382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riešenie migračných výziev vyplývajúcich z vojenskej agresie zo strany Ruskej federácie</w:t>
            </w:r>
          </w:p>
        </w:tc>
        <w:tc>
          <w:tcPr>
            <w:tcW w:w="1576" w:type="dxa"/>
          </w:tcPr>
          <w:p w:rsidR="0000013D" w:rsidRPr="0000013D" w:rsidRDefault="006D1D33" w:rsidP="00EC428E">
            <w:pPr>
              <w:rPr>
                <w:rFonts w:ascii="Times New Roman" w:hAnsi="Times New Roman" w:cs="Times New Roman"/>
              </w:rPr>
            </w:pPr>
            <w:r w:rsidRPr="006D1D33">
              <w:rPr>
                <w:rFonts w:ascii="Times New Roman" w:hAnsi="Times New Roman" w:cs="Times New Roman"/>
              </w:rPr>
              <w:t>Štátni príslušníci tretích krajín odchádzajúci z Ukrajiny v dôsledku ruskej vojenskej agresie</w:t>
            </w:r>
          </w:p>
        </w:tc>
        <w:tc>
          <w:tcPr>
            <w:tcW w:w="3663" w:type="dxa"/>
          </w:tcPr>
          <w:p w:rsidR="00A74C7C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Celkový počet podpor</w:t>
            </w:r>
            <w:r w:rsidR="006E10A1">
              <w:rPr>
                <w:rFonts w:ascii="Times New Roman" w:hAnsi="Times New Roman" w:cs="Times New Roman"/>
              </w:rPr>
              <w:t>ova</w:t>
            </w:r>
            <w:r w:rsidRPr="0000013D">
              <w:rPr>
                <w:rFonts w:ascii="Times New Roman" w:hAnsi="Times New Roman" w:cs="Times New Roman"/>
              </w:rPr>
              <w:t>ných osôb</w:t>
            </w:r>
            <w:r w:rsidR="006D1D33">
              <w:rPr>
                <w:rFonts w:ascii="Times New Roman" w:hAnsi="Times New Roman" w:cs="Times New Roman"/>
              </w:rPr>
              <w:t>, ktorým bola poskytnutá intervencia (CARE)</w:t>
            </w:r>
            <w:r w:rsidRPr="0000013D">
              <w:rPr>
                <w:rFonts w:ascii="Times New Roman" w:hAnsi="Times New Roman" w:cs="Times New Roman"/>
              </w:rPr>
              <w:t xml:space="preserve">: </w:t>
            </w:r>
          </w:p>
          <w:p w:rsidR="0000013D" w:rsidRPr="0000013D" w:rsidRDefault="00A74C7C" w:rsidP="00EC4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6D1D3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434</w:t>
            </w:r>
          </w:p>
          <w:p w:rsidR="0000013D" w:rsidRDefault="0000013D" w:rsidP="00EC428E">
            <w:pPr>
              <w:rPr>
                <w:rFonts w:ascii="Times New Roman" w:hAnsi="Times New Roman" w:cs="Times New Roman"/>
              </w:rPr>
            </w:pPr>
          </w:p>
          <w:p w:rsidR="006D1D33" w:rsidRDefault="006D1D33" w:rsidP="00EC4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osôb nad 18 rokov, ktorým bola poskytnutá intervencia CARE:</w:t>
            </w:r>
            <w:r w:rsidR="00C32540">
              <w:rPr>
                <w:rFonts w:ascii="Times New Roman" w:hAnsi="Times New Roman" w:cs="Times New Roman"/>
              </w:rPr>
              <w:t xml:space="preserve"> 27 830</w:t>
            </w:r>
          </w:p>
          <w:p w:rsidR="006D1D33" w:rsidRPr="0000013D" w:rsidRDefault="006D1D33" w:rsidP="00EC428E">
            <w:pPr>
              <w:rPr>
                <w:rFonts w:ascii="Times New Roman" w:hAnsi="Times New Roman" w:cs="Times New Roman"/>
              </w:rPr>
            </w:pP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Počet </w:t>
            </w:r>
            <w:r w:rsidR="006D1D33">
              <w:rPr>
                <w:rFonts w:ascii="Times New Roman" w:hAnsi="Times New Roman" w:cs="Times New Roman"/>
              </w:rPr>
              <w:t>osôb</w:t>
            </w:r>
            <w:r w:rsidR="006D1D33" w:rsidRPr="0000013D">
              <w:rPr>
                <w:rFonts w:ascii="Times New Roman" w:hAnsi="Times New Roman" w:cs="Times New Roman"/>
              </w:rPr>
              <w:t xml:space="preserve"> </w:t>
            </w:r>
            <w:r w:rsidRPr="0000013D">
              <w:rPr>
                <w:rFonts w:ascii="Times New Roman" w:hAnsi="Times New Roman" w:cs="Times New Roman"/>
              </w:rPr>
              <w:t>do 18 rokov</w:t>
            </w:r>
            <w:r w:rsidR="006D1D33">
              <w:rPr>
                <w:rFonts w:ascii="Times New Roman" w:hAnsi="Times New Roman" w:cs="Times New Roman"/>
              </w:rPr>
              <w:t>, ktorým bola poskytnutá intervencia CARE</w:t>
            </w:r>
            <w:r w:rsidRPr="0000013D">
              <w:rPr>
                <w:rFonts w:ascii="Times New Roman" w:hAnsi="Times New Roman" w:cs="Times New Roman"/>
              </w:rPr>
              <w:t xml:space="preserve">: </w:t>
            </w:r>
            <w:r w:rsidR="00C32540">
              <w:rPr>
                <w:rFonts w:ascii="Times New Roman" w:hAnsi="Times New Roman" w:cs="Times New Roman"/>
              </w:rPr>
              <w:t>16 604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</w:p>
        </w:tc>
      </w:tr>
    </w:tbl>
    <w:p w:rsidR="0000013D" w:rsidRPr="0000013D" w:rsidRDefault="0000013D" w:rsidP="0000013D">
      <w:pPr>
        <w:spacing w:line="276" w:lineRule="auto"/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  <w:i/>
        </w:rPr>
        <w:t>V prípade viacerých cieľových skupín, doplňte dopady na každú z nich.</w:t>
      </w:r>
    </w:p>
    <w:p w:rsidR="0000013D" w:rsidRPr="0000013D" w:rsidRDefault="0000013D" w:rsidP="0000013D">
      <w:pPr>
        <w:rPr>
          <w:rFonts w:ascii="Times New Roman" w:hAnsi="Times New Roman" w:cs="Times New Roman"/>
        </w:rPr>
      </w:pPr>
    </w:p>
    <w:p w:rsidR="0000013D" w:rsidRPr="0000013D" w:rsidRDefault="0000013D" w:rsidP="0000013D">
      <w:pPr>
        <w:pStyle w:val="Odsekzoznamu"/>
        <w:numPr>
          <w:ilvl w:val="0"/>
          <w:numId w:val="2"/>
        </w:numPr>
        <w:contextualSpacing w:val="0"/>
      </w:pPr>
      <w:r w:rsidRPr="0000013D">
        <w:t>Aktivity</w:t>
      </w:r>
    </w:p>
    <w:p w:rsidR="0000013D" w:rsidRPr="0000013D" w:rsidRDefault="0000013D" w:rsidP="0000013D">
      <w:pPr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lastRenderedPageBreak/>
        <w:t xml:space="preserve">a) Uveďte detailnejší popis aktivít. </w:t>
      </w:r>
    </w:p>
    <w:p w:rsidR="00DA63BC" w:rsidRDefault="00DA63BC" w:rsidP="000001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Hlavnou aktivitou projektu je „</w:t>
      </w:r>
      <w:r w:rsidRPr="00DA63BC">
        <w:rPr>
          <w:rFonts w:ascii="Times New Roman" w:hAnsi="Times New Roman" w:cs="Times New Roman"/>
        </w:rPr>
        <w:t>Zabezpečenie základných potrieb a podpory osôb s dočasným útočiskom na území Slovenskej republiky</w:t>
      </w:r>
      <w:r>
        <w:rPr>
          <w:rFonts w:ascii="Times New Roman" w:hAnsi="Times New Roman" w:cs="Times New Roman"/>
        </w:rPr>
        <w:t>“.</w:t>
      </w:r>
    </w:p>
    <w:p w:rsidR="00DA63BC" w:rsidRPr="00DA63BC" w:rsidRDefault="00DA63BC" w:rsidP="00DA63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už bolo spomínané štátny sektor</w:t>
      </w:r>
      <w:r w:rsidRPr="00DA63BC">
        <w:rPr>
          <w:rFonts w:ascii="Times New Roman" w:hAnsi="Times New Roman" w:cs="Times New Roman"/>
        </w:rPr>
        <w:t xml:space="preserve"> vynaložil </w:t>
      </w:r>
      <w:r>
        <w:rPr>
          <w:rFonts w:ascii="Times New Roman" w:hAnsi="Times New Roman" w:cs="Times New Roman"/>
        </w:rPr>
        <w:t>množstvo finančných prostriedkov</w:t>
      </w:r>
      <w:r w:rsidRPr="00DA63BC">
        <w:rPr>
          <w:rFonts w:ascii="Times New Roman" w:hAnsi="Times New Roman" w:cs="Times New Roman"/>
        </w:rPr>
        <w:t xml:space="preserve"> na podporu</w:t>
      </w:r>
      <w:r>
        <w:rPr>
          <w:rFonts w:ascii="Times New Roman" w:hAnsi="Times New Roman" w:cs="Times New Roman"/>
        </w:rPr>
        <w:t xml:space="preserve"> pokrytia </w:t>
      </w:r>
      <w:r w:rsidRPr="00DA63BC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ákladných potrieb ľudí z Ukrajiny s prideleným dočasným útočiskom</w:t>
      </w:r>
      <w:r w:rsidRPr="00DA63BC">
        <w:rPr>
          <w:rFonts w:ascii="Times New Roman" w:hAnsi="Times New Roman" w:cs="Times New Roman"/>
        </w:rPr>
        <w:t xml:space="preserve">, počnúc ich prvým prijatím, poskytnutím prístrešia, zabezpečením stravy, spotrebného materiálu, špecifickou materiálnou pomocou (v prípade potreby deťom alebo postihnutým), poradenstvom, zdravotnou a psychologickou pomocou a administratívnou podporou vrátane tlmočenia. </w:t>
      </w:r>
      <w:r>
        <w:rPr>
          <w:rFonts w:ascii="Times New Roman" w:hAnsi="Times New Roman" w:cs="Times New Roman"/>
        </w:rPr>
        <w:t>Konkrétne formy pomoci sú nasledovné:</w:t>
      </w:r>
    </w:p>
    <w:p w:rsidR="00DA63BC" w:rsidRPr="00BA419E" w:rsidRDefault="00DA63BC" w:rsidP="00B64338">
      <w:pPr>
        <w:pStyle w:val="Odsekzoznamu"/>
        <w:numPr>
          <w:ilvl w:val="0"/>
          <w:numId w:val="3"/>
        </w:numPr>
        <w:jc w:val="both"/>
      </w:pPr>
      <w:r w:rsidRPr="00B64338">
        <w:rPr>
          <w:sz w:val="22"/>
          <w:szCs w:val="22"/>
        </w:rPr>
        <w:t xml:space="preserve">Všeobecný spotrebný materiál – základná materiálna pomoc, hygienické balíčky, prikrývky, oblečenie, lieky bez lekárskeho predpisu, spacie vaky atď. </w:t>
      </w:r>
    </w:p>
    <w:p w:rsidR="00DA63BC" w:rsidRPr="00BA419E" w:rsidRDefault="00DA63BC" w:rsidP="00B64338">
      <w:pPr>
        <w:pStyle w:val="Odsekzoznamu"/>
        <w:numPr>
          <w:ilvl w:val="0"/>
          <w:numId w:val="3"/>
        </w:numPr>
        <w:jc w:val="both"/>
      </w:pPr>
      <w:r w:rsidRPr="00B64338">
        <w:rPr>
          <w:sz w:val="22"/>
          <w:szCs w:val="22"/>
        </w:rPr>
        <w:t>Špecifický spotrebný materiál pre detí najmä maloleté osoby bez sprievodu a pre zdravotne postihnuté osoby - učebné materiály, plienky, dojčenské fľaše, lieky na základe lekárskeho predpisu, invalidné vozíky, rôzne zdravotné pomôcky, polohovateľné postele atď.</w:t>
      </w:r>
    </w:p>
    <w:p w:rsidR="00DA63BC" w:rsidRPr="00BA419E" w:rsidRDefault="00DA63BC" w:rsidP="00B64338">
      <w:pPr>
        <w:pStyle w:val="Odsekzoznamu"/>
        <w:numPr>
          <w:ilvl w:val="0"/>
          <w:numId w:val="3"/>
        </w:numPr>
        <w:jc w:val="both"/>
      </w:pPr>
      <w:r w:rsidRPr="00B64338">
        <w:rPr>
          <w:sz w:val="22"/>
          <w:szCs w:val="22"/>
        </w:rPr>
        <w:t xml:space="preserve">Potraviny a ich poskytovanie – potravinové balíčky, teplá strava, zabezpečenie poskytnutia stravy internými a externými kapacitami (catering) atď. </w:t>
      </w:r>
    </w:p>
    <w:p w:rsidR="00DA63BC" w:rsidRPr="00BA419E" w:rsidRDefault="00DA63BC" w:rsidP="00B64338">
      <w:pPr>
        <w:pStyle w:val="Odsekzoznamu"/>
        <w:numPr>
          <w:ilvl w:val="0"/>
          <w:numId w:val="3"/>
        </w:numPr>
        <w:jc w:val="both"/>
      </w:pPr>
      <w:r w:rsidRPr="00B64338">
        <w:rPr>
          <w:sz w:val="22"/>
          <w:szCs w:val="22"/>
        </w:rPr>
        <w:t>Poskytovanie dopravy – zabezpečenie prepravy utečencov, ich osobného vlastníctva</w:t>
      </w:r>
      <w:r>
        <w:rPr>
          <w:sz w:val="22"/>
          <w:szCs w:val="22"/>
        </w:rPr>
        <w:t>.</w:t>
      </w:r>
      <w:r w:rsidRPr="00B64338">
        <w:rPr>
          <w:sz w:val="22"/>
          <w:szCs w:val="22"/>
        </w:rPr>
        <w:t xml:space="preserve"> </w:t>
      </w:r>
    </w:p>
    <w:p w:rsidR="00DA63BC" w:rsidRPr="00BA419E" w:rsidRDefault="00DA63BC" w:rsidP="00B64338">
      <w:pPr>
        <w:pStyle w:val="Odsekzoznamu"/>
        <w:numPr>
          <w:ilvl w:val="0"/>
          <w:numId w:val="3"/>
        </w:numPr>
        <w:jc w:val="both"/>
      </w:pPr>
      <w:r w:rsidRPr="00B64338">
        <w:rPr>
          <w:sz w:val="22"/>
          <w:szCs w:val="22"/>
        </w:rPr>
        <w:t>Všeobecná a špecifická zdravotná a psychologická pomoc.</w:t>
      </w:r>
    </w:p>
    <w:p w:rsidR="00DA63BC" w:rsidRPr="00BA419E" w:rsidRDefault="00DA63BC" w:rsidP="00B64338">
      <w:pPr>
        <w:pStyle w:val="Odsekzoznamu"/>
        <w:numPr>
          <w:ilvl w:val="0"/>
          <w:numId w:val="3"/>
        </w:numPr>
        <w:jc w:val="both"/>
      </w:pPr>
      <w:r w:rsidRPr="00B64338">
        <w:rPr>
          <w:sz w:val="22"/>
          <w:szCs w:val="22"/>
        </w:rPr>
        <w:t xml:space="preserve">Administratívna podpora a informovanie o právach a poskytovanej podpore – zmena predpisov (zákonov, nariadení, uznesení, všeobecne záväzných nariadení obcí) pre poskytovanie tovarov a služieb na pokrytie základných potrieb utečencov s dočasným útočiskom, zber informácií, triedenie informácií, zverejnenie informácií a najmä osobné poskytovanie informácií na úradoch, autobusových, železničných staniciach, školách atď.  </w:t>
      </w:r>
    </w:p>
    <w:p w:rsidR="00DA63BC" w:rsidRPr="00BA419E" w:rsidRDefault="00DA63BC" w:rsidP="00B64338">
      <w:pPr>
        <w:pStyle w:val="Odsekzoznamu"/>
        <w:numPr>
          <w:ilvl w:val="0"/>
          <w:numId w:val="3"/>
        </w:numPr>
        <w:jc w:val="both"/>
      </w:pPr>
      <w:r w:rsidRPr="00B64338">
        <w:rPr>
          <w:sz w:val="22"/>
          <w:szCs w:val="22"/>
        </w:rPr>
        <w:t xml:space="preserve">Tlmočenie a prekladateľské služby – tlmočenie v úradnom styku online, osobne a telefonicky (úrady, školy, škôlky, zdravotnícke a ubytovacie zariadenia...), preklady materiálov (brožúry, tlačivá, formuláre, knihy, publikácie) atď.   </w:t>
      </w:r>
    </w:p>
    <w:p w:rsidR="00DA63BC" w:rsidRDefault="00DA63BC" w:rsidP="0000013D">
      <w:pPr>
        <w:jc w:val="both"/>
        <w:rPr>
          <w:rFonts w:ascii="Times New Roman" w:hAnsi="Times New Roman" w:cs="Times New Roman"/>
        </w:rPr>
      </w:pPr>
    </w:p>
    <w:p w:rsidR="0000013D" w:rsidRDefault="0000013D" w:rsidP="0000013D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 xml:space="preserve">Cieľom </w:t>
      </w:r>
      <w:r w:rsidR="00EC428E">
        <w:rPr>
          <w:rFonts w:ascii="Times New Roman" w:hAnsi="Times New Roman" w:cs="Times New Roman"/>
        </w:rPr>
        <w:t xml:space="preserve">hlavnej </w:t>
      </w:r>
      <w:r w:rsidRPr="0000013D">
        <w:rPr>
          <w:rFonts w:ascii="Times New Roman" w:hAnsi="Times New Roman" w:cs="Times New Roman"/>
        </w:rPr>
        <w:t xml:space="preserve">aktivity je poskytnúť </w:t>
      </w:r>
      <w:r w:rsidR="00EC428E">
        <w:rPr>
          <w:rFonts w:ascii="Times New Roman" w:hAnsi="Times New Roman" w:cs="Times New Roman"/>
        </w:rPr>
        <w:t xml:space="preserve">finančnú </w:t>
      </w:r>
      <w:r w:rsidRPr="0000013D">
        <w:rPr>
          <w:rFonts w:ascii="Times New Roman" w:hAnsi="Times New Roman" w:cs="Times New Roman"/>
        </w:rPr>
        <w:t>podporu štátnej správy pri prijímaní a okamžitej pomoci utečencom a to formou refundácie/financovania výdavkov podľa článku 68c nariadenia 1303/2013.</w:t>
      </w:r>
    </w:p>
    <w:p w:rsidR="00F05E8D" w:rsidRPr="0000013D" w:rsidRDefault="00F05E8D" w:rsidP="00F05E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Úlohou MIRRI SR ako prijímateľa je zabezpečenie efektívnej implementácie a riadenia projektu v zmysle aktuálne platných predpisov a nariadení. MV SR ako partner projektu bude zodpovedať za poskytovanie štatistík o utečencoch pre účely realizácie projektu.</w:t>
      </w:r>
    </w:p>
    <w:p w:rsidR="0000013D" w:rsidRDefault="0000013D" w:rsidP="00D20311">
      <w:pPr>
        <w:jc w:val="both"/>
        <w:rPr>
          <w:rFonts w:ascii="Times New Roman" w:hAnsi="Times New Roman" w:cs="Times New Roman"/>
        </w:rPr>
      </w:pPr>
      <w:r w:rsidRPr="0000013D">
        <w:rPr>
          <w:rFonts w:ascii="Times New Roman" w:hAnsi="Times New Roman" w:cs="Times New Roman"/>
        </w:rPr>
        <w:t xml:space="preserve">Na základe Registra MV SR o ubytovaných utečencoch v obciach má Prijímateľ prostredníctvom Partnera k dispozícií podrobný prehľad o počte registrovaných utečencov, ktorí žili v obciach počas 26 týždňov po ich prijatí do krajiny. Na základe </w:t>
      </w:r>
      <w:r w:rsidR="00126959">
        <w:rPr>
          <w:rFonts w:ascii="Times New Roman" w:hAnsi="Times New Roman" w:cs="Times New Roman"/>
        </w:rPr>
        <w:t>odčítania</w:t>
      </w:r>
      <w:r w:rsidRPr="0000013D">
        <w:rPr>
          <w:rFonts w:ascii="Times New Roman" w:hAnsi="Times New Roman" w:cs="Times New Roman"/>
        </w:rPr>
        <w:t xml:space="preserve"> počtu utečencov žijúcich v obciach (</w:t>
      </w:r>
      <w:r w:rsidR="00780EF6">
        <w:rPr>
          <w:rFonts w:ascii="Times New Roman" w:hAnsi="Times New Roman" w:cs="Times New Roman"/>
        </w:rPr>
        <w:t>48</w:t>
      </w:r>
      <w:r w:rsidRPr="0000013D">
        <w:rPr>
          <w:rFonts w:ascii="Times New Roman" w:hAnsi="Times New Roman" w:cs="Times New Roman"/>
        </w:rPr>
        <w:t> </w:t>
      </w:r>
      <w:r w:rsidR="00780EF6">
        <w:rPr>
          <w:rFonts w:ascii="Times New Roman" w:hAnsi="Times New Roman" w:cs="Times New Roman"/>
        </w:rPr>
        <w:t>814</w:t>
      </w:r>
      <w:r w:rsidRPr="0000013D">
        <w:rPr>
          <w:rFonts w:ascii="Times New Roman" w:hAnsi="Times New Roman" w:cs="Times New Roman"/>
        </w:rPr>
        <w:t>) od celkového počtu utečencov (9</w:t>
      </w:r>
      <w:r w:rsidR="00780EF6">
        <w:rPr>
          <w:rFonts w:ascii="Times New Roman" w:hAnsi="Times New Roman" w:cs="Times New Roman"/>
        </w:rPr>
        <w:t>3</w:t>
      </w:r>
      <w:r w:rsidRPr="0000013D">
        <w:rPr>
          <w:rFonts w:ascii="Times New Roman" w:hAnsi="Times New Roman" w:cs="Times New Roman"/>
        </w:rPr>
        <w:t> </w:t>
      </w:r>
      <w:r w:rsidR="00780EF6">
        <w:rPr>
          <w:rFonts w:ascii="Times New Roman" w:hAnsi="Times New Roman" w:cs="Times New Roman"/>
        </w:rPr>
        <w:t>248</w:t>
      </w:r>
      <w:r w:rsidRPr="0000013D">
        <w:rPr>
          <w:rFonts w:ascii="Times New Roman" w:hAnsi="Times New Roman" w:cs="Times New Roman"/>
        </w:rPr>
        <w:t>) bol určený konečný počet registrovaných utečencov</w:t>
      </w:r>
      <w:r w:rsidR="00780EF6">
        <w:rPr>
          <w:rFonts w:ascii="Times New Roman" w:hAnsi="Times New Roman" w:cs="Times New Roman"/>
        </w:rPr>
        <w:t xml:space="preserve"> (44</w:t>
      </w:r>
      <w:r w:rsidRPr="0000013D">
        <w:rPr>
          <w:rFonts w:ascii="Times New Roman" w:hAnsi="Times New Roman" w:cs="Times New Roman"/>
        </w:rPr>
        <w:t> </w:t>
      </w:r>
      <w:r w:rsidR="00780EF6">
        <w:rPr>
          <w:rFonts w:ascii="Times New Roman" w:hAnsi="Times New Roman" w:cs="Times New Roman"/>
        </w:rPr>
        <w:t>434</w:t>
      </w:r>
      <w:r w:rsidRPr="0000013D">
        <w:rPr>
          <w:rFonts w:ascii="Times New Roman" w:hAnsi="Times New Roman" w:cs="Times New Roman"/>
        </w:rPr>
        <w:t>) za štátnu správu. Ide o utečencov ubytovaných v</w:t>
      </w:r>
      <w:r w:rsidR="00126959">
        <w:rPr>
          <w:rFonts w:ascii="Times New Roman" w:hAnsi="Times New Roman" w:cs="Times New Roman"/>
        </w:rPr>
        <w:t> </w:t>
      </w:r>
      <w:r w:rsidR="00B903D4" w:rsidRPr="0000013D">
        <w:rPr>
          <w:rFonts w:ascii="Times New Roman" w:hAnsi="Times New Roman" w:cs="Times New Roman"/>
        </w:rPr>
        <w:t>štátnych zariadeniach</w:t>
      </w:r>
      <w:r w:rsidR="003227E3">
        <w:rPr>
          <w:rFonts w:ascii="Times New Roman" w:hAnsi="Times New Roman" w:cs="Times New Roman"/>
        </w:rPr>
        <w:t xml:space="preserve"> alebo využívajúcich</w:t>
      </w:r>
      <w:r w:rsidRPr="0000013D">
        <w:rPr>
          <w:rFonts w:ascii="Times New Roman" w:hAnsi="Times New Roman" w:cs="Times New Roman"/>
        </w:rPr>
        <w:t xml:space="preserve"> služby poskytované štátnou</w:t>
      </w:r>
      <w:r w:rsidR="00126959">
        <w:rPr>
          <w:rFonts w:ascii="Times New Roman" w:hAnsi="Times New Roman" w:cs="Times New Roman"/>
        </w:rPr>
        <w:t xml:space="preserve"> </w:t>
      </w:r>
      <w:r w:rsidRPr="0000013D">
        <w:rPr>
          <w:rFonts w:ascii="Times New Roman" w:hAnsi="Times New Roman" w:cs="Times New Roman"/>
        </w:rPr>
        <w:t>správou. Finančné prostriedky získané na  podporu štátnej správy budú pripísané do rozpočtovej kapitoly Všeobecnej pokladničnej správy</w:t>
      </w:r>
      <w:r w:rsidR="00EC428E">
        <w:rPr>
          <w:rFonts w:ascii="Times New Roman" w:hAnsi="Times New Roman" w:cs="Times New Roman"/>
        </w:rPr>
        <w:t xml:space="preserve"> v zmysle zákona č. 292/2014 Z.z. </w:t>
      </w:r>
      <w:r w:rsidR="00EC428E" w:rsidRPr="00EC428E">
        <w:rPr>
          <w:rFonts w:ascii="Times New Roman" w:hAnsi="Times New Roman" w:cs="Times New Roman"/>
        </w:rPr>
        <w:t>o príspevku poskytovanom z európskych štrukturálnych a investičných fondov a o zmene a doplnení niektorých zákonov</w:t>
      </w:r>
      <w:r w:rsidR="00EC428E">
        <w:rPr>
          <w:rFonts w:ascii="Times New Roman" w:hAnsi="Times New Roman" w:cs="Times New Roman"/>
        </w:rPr>
        <w:t xml:space="preserve"> zo dňa 17. septembra 2014. Zákon č. 292/2014 definuje užívateľa ako osobu, </w:t>
      </w:r>
      <w:r w:rsidR="00EC428E" w:rsidRPr="00EC428E">
        <w:rPr>
          <w:rFonts w:ascii="Times New Roman" w:hAnsi="Times New Roman" w:cs="Times New Roman"/>
        </w:rPr>
        <w:t>ktorej prijímateľ alebo partner poskytuje finančné prostriedky z príspevku za podmienok určených vo výzve alebo vo vyzvaní pre národný projekt na základe predchádzajúceho súhlasu poskytovateľa a v súlade so zmluvou uzavretou medzi prijímateľom a užívateľom alebo partnerom a</w:t>
      </w:r>
      <w:r w:rsidR="00B64338">
        <w:rPr>
          <w:rFonts w:ascii="Times New Roman" w:hAnsi="Times New Roman" w:cs="Times New Roman"/>
        </w:rPr>
        <w:t> </w:t>
      </w:r>
      <w:r w:rsidR="00EC428E" w:rsidRPr="00EC428E">
        <w:rPr>
          <w:rFonts w:ascii="Times New Roman" w:hAnsi="Times New Roman" w:cs="Times New Roman"/>
        </w:rPr>
        <w:t>užívateľom</w:t>
      </w:r>
      <w:r w:rsidR="00B64338">
        <w:rPr>
          <w:rFonts w:ascii="Times New Roman" w:hAnsi="Times New Roman" w:cs="Times New Roman"/>
        </w:rPr>
        <w:t>.</w:t>
      </w:r>
      <w:r w:rsidR="00EC428E">
        <w:rPr>
          <w:rFonts w:ascii="Times New Roman" w:hAnsi="Times New Roman" w:cs="Times New Roman"/>
        </w:rPr>
        <w:t xml:space="preserve"> Užívateľ</w:t>
      </w:r>
      <w:r w:rsidR="00D20311">
        <w:rPr>
          <w:rFonts w:ascii="Times New Roman" w:hAnsi="Times New Roman" w:cs="Times New Roman"/>
        </w:rPr>
        <w:t>om</w:t>
      </w:r>
      <w:r w:rsidR="00EC428E">
        <w:rPr>
          <w:rFonts w:ascii="Times New Roman" w:hAnsi="Times New Roman" w:cs="Times New Roman"/>
        </w:rPr>
        <w:t xml:space="preserve"> tohto národného projektu bude </w:t>
      </w:r>
      <w:r w:rsidR="00D20311" w:rsidRPr="00D20311">
        <w:rPr>
          <w:rFonts w:ascii="Times New Roman" w:hAnsi="Times New Roman" w:cs="Times New Roman"/>
        </w:rPr>
        <w:t>Ministerstvo financií</w:t>
      </w:r>
      <w:r w:rsidR="00D20311">
        <w:rPr>
          <w:rFonts w:ascii="Times New Roman" w:hAnsi="Times New Roman" w:cs="Times New Roman"/>
        </w:rPr>
        <w:t xml:space="preserve"> </w:t>
      </w:r>
      <w:r w:rsidR="00D20311" w:rsidRPr="00D20311">
        <w:rPr>
          <w:rFonts w:ascii="Times New Roman" w:hAnsi="Times New Roman" w:cs="Times New Roman"/>
        </w:rPr>
        <w:t>Slovenskej republiky</w:t>
      </w:r>
      <w:r w:rsidR="00CE2166">
        <w:rPr>
          <w:rFonts w:ascii="Times New Roman" w:hAnsi="Times New Roman" w:cs="Times New Roman"/>
        </w:rPr>
        <w:t>.</w:t>
      </w:r>
    </w:p>
    <w:p w:rsidR="0000013D" w:rsidRDefault="00DE6610" w:rsidP="003E2B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Cieľom podporných aktivít národného projektu je taktiež zabezpečenie publicity projektu a informovanosti verejnosti s celoplošným dosahom a zároveň zabezpečenie riadenia projektu </w:t>
      </w:r>
      <w:r w:rsidR="00BB4924">
        <w:rPr>
          <w:rFonts w:ascii="Times New Roman" w:hAnsi="Times New Roman" w:cs="Times New Roman"/>
        </w:rPr>
        <w:t xml:space="preserve">za </w:t>
      </w:r>
      <w:r w:rsidR="00BB4924">
        <w:rPr>
          <w:rFonts w:ascii="Times New Roman" w:hAnsi="Times New Roman" w:cs="Times New Roman"/>
        </w:rPr>
        <w:lastRenderedPageBreak/>
        <w:t>prijímateľa a partnera.</w:t>
      </w:r>
      <w:r w:rsidR="00D17E0C">
        <w:rPr>
          <w:rFonts w:ascii="Times New Roman" w:hAnsi="Times New Roman" w:cs="Times New Roman"/>
        </w:rPr>
        <w:t xml:space="preserve"> </w:t>
      </w:r>
      <w:r w:rsidR="00D17E0C" w:rsidRPr="00D17E0C">
        <w:rPr>
          <w:rFonts w:ascii="Times New Roman" w:hAnsi="Times New Roman" w:cs="Times New Roman"/>
        </w:rPr>
        <w:t>MIRRI SR zabezpečí riadenie projektu prostredníctvom projektového a finančného manažéra a MV SR prostredníctvom finančného manažéra.</w:t>
      </w:r>
    </w:p>
    <w:p w:rsidR="0000013D" w:rsidRPr="0000013D" w:rsidRDefault="0000013D" w:rsidP="0000013D">
      <w:pPr>
        <w:jc w:val="both"/>
        <w:rPr>
          <w:rFonts w:ascii="Times New Roman" w:eastAsia="Calibri" w:hAnsi="Times New Roman" w:cs="Times New Roman"/>
          <w:bCs/>
          <w:iCs/>
        </w:rPr>
      </w:pPr>
      <w:r w:rsidRPr="0000013D">
        <w:rPr>
          <w:rFonts w:ascii="Times New Roman" w:hAnsi="Times New Roman" w:cs="Times New Roman"/>
        </w:rPr>
        <w:t xml:space="preserve">b) V tabuľke nižšie uveďte </w:t>
      </w:r>
      <w:r w:rsidRPr="0000013D">
        <w:rPr>
          <w:rFonts w:ascii="Times New Roman" w:eastAsia="Calibri" w:hAnsi="Times New Roman" w:cs="Times New Roman"/>
          <w:bCs/>
          <w:iCs/>
        </w:rPr>
        <w:t xml:space="preserve">rámcový popis aktivít, ktoré budú v rámci identifikovaného národného projektu realizované </w:t>
      </w:r>
      <w:r w:rsidRPr="0000013D">
        <w:rPr>
          <w:rFonts w:ascii="Times New Roman" w:hAnsi="Times New Roman" w:cs="Times New Roman"/>
        </w:rPr>
        <w:t xml:space="preserve"> </w:t>
      </w:r>
      <w:r w:rsidRPr="0000013D">
        <w:rPr>
          <w:rFonts w:ascii="Times New Roman" w:eastAsia="Calibri" w:hAnsi="Times New Roman" w:cs="Times New Roman"/>
          <w:bCs/>
          <w:iCs/>
        </w:rPr>
        <w:t>a ich prepojenie so špecifickými cieľmi.</w:t>
      </w:r>
    </w:p>
    <w:p w:rsidR="0000013D" w:rsidRPr="0000013D" w:rsidRDefault="0000013D" w:rsidP="0000013D">
      <w:pPr>
        <w:rPr>
          <w:rFonts w:ascii="Times New Roman" w:hAnsi="Times New Roman" w:cs="Times New Roman"/>
        </w:rPr>
      </w:pPr>
    </w:p>
    <w:tbl>
      <w:tblPr>
        <w:tblStyle w:val="Mriekatabuky"/>
        <w:tblpPr w:leftFromText="141" w:rightFromText="141" w:vertAnchor="text" w:horzAnchor="margin" w:tblpY="198"/>
        <w:tblW w:w="0" w:type="auto"/>
        <w:tblLayout w:type="fixed"/>
        <w:tblLook w:val="04A0" w:firstRow="1" w:lastRow="0" w:firstColumn="1" w:lastColumn="0" w:noHBand="0" w:noVBand="1"/>
      </w:tblPr>
      <w:tblGrid>
        <w:gridCol w:w="2516"/>
        <w:gridCol w:w="2182"/>
        <w:gridCol w:w="2182"/>
        <w:gridCol w:w="2182"/>
      </w:tblGrid>
      <w:tr w:rsidR="0000013D" w:rsidRPr="0000013D" w:rsidTr="00EC428E">
        <w:tc>
          <w:tcPr>
            <w:tcW w:w="2516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Názov aktivity</w:t>
            </w:r>
          </w:p>
        </w:tc>
        <w:tc>
          <w:tcPr>
            <w:tcW w:w="2182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  <w:i/>
              </w:rPr>
            </w:pPr>
            <w:r w:rsidRPr="0000013D">
              <w:rPr>
                <w:rFonts w:ascii="Times New Roman" w:hAnsi="Times New Roman" w:cs="Times New Roman"/>
              </w:rPr>
              <w:t xml:space="preserve">Cieľ, ktorý má byť aktivitou dosiahnutý (podľa sekcie </w:t>
            </w:r>
            <w:r w:rsidRPr="0000013D">
              <w:rPr>
                <w:rFonts w:ascii="Times New Roman" w:hAnsi="Times New Roman" w:cs="Times New Roman"/>
                <w:i/>
              </w:rPr>
              <w:t>Očakávaný stav</w:t>
            </w:r>
            <w:r w:rsidRPr="0000013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2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Spôsob realizácie (žiadateľ a/alebo partner)</w:t>
            </w:r>
          </w:p>
        </w:tc>
        <w:tc>
          <w:tcPr>
            <w:tcW w:w="2182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Predpokladaný počet mesiacov realizácie aktivity</w:t>
            </w:r>
          </w:p>
        </w:tc>
      </w:tr>
      <w:tr w:rsidR="0000013D" w:rsidRPr="0000013D" w:rsidTr="00EC428E">
        <w:tc>
          <w:tcPr>
            <w:tcW w:w="2516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Podpora štátnej správy pri prijímaní a okamžitej pomoci utečencom</w:t>
            </w:r>
          </w:p>
        </w:tc>
        <w:tc>
          <w:tcPr>
            <w:tcW w:w="2182" w:type="dxa"/>
          </w:tcPr>
          <w:p w:rsidR="0000013D" w:rsidRPr="0000013D" w:rsidRDefault="002518D0" w:rsidP="00EC428E">
            <w:pPr>
              <w:rPr>
                <w:rFonts w:ascii="Times New Roman" w:hAnsi="Times New Roman" w:cs="Times New Roman"/>
              </w:rPr>
            </w:pPr>
            <w:r w:rsidRPr="002518D0">
              <w:rPr>
                <w:rFonts w:ascii="Times New Roman" w:hAnsi="Times New Roman" w:cs="Times New Roman"/>
              </w:rPr>
              <w:t xml:space="preserve">115 528 400 </w:t>
            </w:r>
            <w:r w:rsidR="0000013D" w:rsidRPr="0000013D">
              <w:rPr>
                <w:rFonts w:ascii="Times New Roman" w:hAnsi="Times New Roman" w:cs="Times New Roman"/>
              </w:rPr>
              <w:t>EUR zameraných na  podporu štátnej správy pri prijímaní a okamžitej pomoci utečencom</w:t>
            </w:r>
          </w:p>
        </w:tc>
        <w:tc>
          <w:tcPr>
            <w:tcW w:w="2182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Žiadateľ</w:t>
            </w:r>
            <w:r w:rsidR="00A611BD">
              <w:rPr>
                <w:rFonts w:ascii="Times New Roman" w:hAnsi="Times New Roman" w:cs="Times New Roman"/>
              </w:rPr>
              <w:t>, </w:t>
            </w:r>
            <w:r w:rsidRPr="0000013D">
              <w:rPr>
                <w:rFonts w:ascii="Times New Roman" w:hAnsi="Times New Roman" w:cs="Times New Roman"/>
              </w:rPr>
              <w:t>partner</w:t>
            </w:r>
          </w:p>
        </w:tc>
        <w:tc>
          <w:tcPr>
            <w:tcW w:w="2182" w:type="dxa"/>
          </w:tcPr>
          <w:p w:rsidR="0000013D" w:rsidRPr="0000013D" w:rsidRDefault="00B4794D" w:rsidP="00EC4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0013D" w:rsidRPr="0000013D" w:rsidTr="00EC428E">
        <w:tc>
          <w:tcPr>
            <w:tcW w:w="2516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Podporné aktivity</w:t>
            </w:r>
          </w:p>
        </w:tc>
        <w:tc>
          <w:tcPr>
            <w:tcW w:w="2182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Refundácia/financovanie výdavkov prijímateľa a partnera súvisiacich s implementáciou projektu </w:t>
            </w:r>
          </w:p>
        </w:tc>
        <w:tc>
          <w:tcPr>
            <w:tcW w:w="2182" w:type="dxa"/>
          </w:tcPr>
          <w:p w:rsidR="0000013D" w:rsidRPr="00182E9F" w:rsidRDefault="0000013D" w:rsidP="00EC428E">
            <w:pPr>
              <w:rPr>
                <w:rStyle w:val="Odkaznakomentr"/>
                <w:rFonts w:ascii="Times New Roman" w:hAnsi="Times New Roman" w:cs="Times New Roman"/>
                <w:sz w:val="22"/>
                <w:szCs w:val="22"/>
              </w:rPr>
            </w:pPr>
            <w:r w:rsidRPr="00182E9F">
              <w:rPr>
                <w:rStyle w:val="Odkaznakomentr"/>
                <w:rFonts w:ascii="Times New Roman" w:hAnsi="Times New Roman" w:cs="Times New Roman"/>
                <w:sz w:val="22"/>
                <w:szCs w:val="22"/>
              </w:rPr>
              <w:t>Žiadateľ</w:t>
            </w:r>
            <w:r w:rsidR="00A611BD">
              <w:rPr>
                <w:rStyle w:val="Odkaznakomentr"/>
                <w:rFonts w:ascii="Times New Roman" w:hAnsi="Times New Roman" w:cs="Times New Roman"/>
                <w:sz w:val="22"/>
                <w:szCs w:val="22"/>
              </w:rPr>
              <w:t>, </w:t>
            </w:r>
            <w:r w:rsidRPr="00182E9F">
              <w:rPr>
                <w:rStyle w:val="Odkaznakomentr"/>
                <w:rFonts w:ascii="Times New Roman" w:hAnsi="Times New Roman" w:cs="Times New Roman"/>
                <w:sz w:val="22"/>
                <w:szCs w:val="22"/>
              </w:rPr>
              <w:t>partner</w:t>
            </w:r>
            <w:r w:rsidR="00A611BD">
              <w:rPr>
                <w:rStyle w:val="Odkaznakoment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82" w:type="dxa"/>
          </w:tcPr>
          <w:p w:rsidR="0000013D" w:rsidRPr="0000013D" w:rsidRDefault="00B4794D" w:rsidP="00EC4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:rsidR="0000013D" w:rsidRPr="0000013D" w:rsidRDefault="0000013D" w:rsidP="0000013D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00013D">
        <w:rPr>
          <w:rFonts w:ascii="Times New Roman" w:hAnsi="Times New Roman" w:cs="Times New Roman"/>
          <w:i/>
        </w:rPr>
        <w:t>V prípade viacerých aktivít, doplňte informácie za každú z nich.</w:t>
      </w:r>
    </w:p>
    <w:p w:rsidR="0000013D" w:rsidRPr="0000013D" w:rsidRDefault="0000013D" w:rsidP="0000013D">
      <w:pPr>
        <w:pStyle w:val="Odsekzoznamu"/>
        <w:ind w:left="284"/>
        <w:contextualSpacing w:val="0"/>
      </w:pPr>
    </w:p>
    <w:p w:rsidR="0000013D" w:rsidRPr="0000013D" w:rsidRDefault="0000013D" w:rsidP="0000013D">
      <w:pPr>
        <w:pStyle w:val="Odsekzoznamu"/>
        <w:keepNext/>
        <w:numPr>
          <w:ilvl w:val="0"/>
          <w:numId w:val="2"/>
        </w:numPr>
        <w:ind w:left="426" w:hanging="426"/>
        <w:contextualSpacing w:val="0"/>
      </w:pPr>
      <w:r w:rsidRPr="0000013D">
        <w:t xml:space="preserve">Rozpočet </w:t>
      </w:r>
    </w:p>
    <w:p w:rsidR="0000013D" w:rsidRPr="0000013D" w:rsidRDefault="0000013D" w:rsidP="0000013D">
      <w:pPr>
        <w:pStyle w:val="Odsekzoznamu"/>
        <w:ind w:left="426"/>
        <w:contextualSpacing w:val="0"/>
        <w:jc w:val="both"/>
      </w:pPr>
      <w:r w:rsidRPr="0000013D">
        <w:t>Jasne uveďte, ako bol pripravovaný indikatívny rozpočet a ako spĺňa kritérium „hodnota za peniaze“, t. j. akým spôsobom bola odhadnutá cena za každú položku, napr. prieskum trhu, analýza minulých výdavkov spojených s podobnými aktivitami, nezávislý znalecký posudok, v prípade, ak príprave projektu predchádza vypracovanie štúdie uskutočniteľnosti, ktorej výsledkom je, o. i. aj určenie výšky alokácie, je potrebné uviesť túto štúdiu ako zdroj určenia výšky finančných prostriedkov. Skupiny výdavkov doplňte v súlade s MP CKO č. 4 k číselníku oprávnených výdavkov v platnom znení. V prípade operačných programov implementujúcich infraštruktúrne projekty, ako aj projekty súvisiace s obnovou mobilných prostriedkov, sa do ukončenia verejného obstarávania uvádzajú položky rozpočtu len do úrovne aktivít.</w:t>
      </w:r>
    </w:p>
    <w:p w:rsidR="0000013D" w:rsidRPr="0000013D" w:rsidRDefault="0000013D" w:rsidP="0000013D">
      <w:pPr>
        <w:pStyle w:val="Odsekzoznamu"/>
        <w:ind w:left="708"/>
        <w:contextualSpacing w:val="0"/>
        <w:jc w:val="both"/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265"/>
        <w:gridCol w:w="1954"/>
        <w:gridCol w:w="4843"/>
      </w:tblGrid>
      <w:tr w:rsidR="0000013D" w:rsidRPr="0000013D" w:rsidTr="00EC428E">
        <w:trPr>
          <w:cantSplit/>
          <w:trHeight w:val="699"/>
        </w:trPr>
        <w:tc>
          <w:tcPr>
            <w:tcW w:w="9062" w:type="dxa"/>
            <w:gridSpan w:val="3"/>
            <w:shd w:val="clear" w:color="auto" w:fill="FFE599" w:themeFill="accent4" w:themeFillTint="66"/>
          </w:tcPr>
          <w:p w:rsidR="0000013D" w:rsidRPr="0000013D" w:rsidRDefault="0000013D" w:rsidP="00EC428E">
            <w:pPr>
              <w:pStyle w:val="Odsekzoznamu"/>
              <w:ind w:left="0"/>
              <w:contextualSpacing w:val="0"/>
              <w:jc w:val="both"/>
            </w:pPr>
            <w:r w:rsidRPr="0000013D">
              <w:t>Indikatívna výška finančných prostriedkov určených na realizáciu národného projektu a ich výstižné zdôvodnenie</w:t>
            </w:r>
          </w:p>
        </w:tc>
      </w:tr>
      <w:tr w:rsidR="0000013D" w:rsidRPr="0000013D" w:rsidTr="00EC428E">
        <w:trPr>
          <w:cantSplit/>
        </w:trPr>
        <w:tc>
          <w:tcPr>
            <w:tcW w:w="2265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  <w:b/>
              </w:rPr>
              <w:t>Predpokladané finančné prostriedky na hlavné aktivity</w:t>
            </w:r>
          </w:p>
        </w:tc>
        <w:tc>
          <w:tcPr>
            <w:tcW w:w="1954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  <w:b/>
              </w:rPr>
            </w:pPr>
            <w:r w:rsidRPr="0000013D">
              <w:rPr>
                <w:rFonts w:ascii="Times New Roman" w:hAnsi="Times New Roman" w:cs="Times New Roman"/>
                <w:b/>
              </w:rPr>
              <w:t xml:space="preserve">Celková suma 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3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  <w:b/>
              </w:rPr>
            </w:pPr>
            <w:r w:rsidRPr="0000013D">
              <w:rPr>
                <w:rFonts w:ascii="Times New Roman" w:hAnsi="Times New Roman" w:cs="Times New Roman"/>
                <w:b/>
              </w:rPr>
              <w:t>Uveďte plánované vecné vymedzenie</w:t>
            </w:r>
          </w:p>
        </w:tc>
      </w:tr>
      <w:tr w:rsidR="0000013D" w:rsidRPr="0000013D" w:rsidTr="00EC428E">
        <w:trPr>
          <w:cantSplit/>
        </w:trPr>
        <w:tc>
          <w:tcPr>
            <w:tcW w:w="2265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  <w:b/>
              </w:rPr>
              <w:t>Podpora štátnej správy pri prijímaní a okamžitej pomoci utečencom</w:t>
            </w:r>
          </w:p>
        </w:tc>
        <w:tc>
          <w:tcPr>
            <w:tcW w:w="1954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3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</w:p>
        </w:tc>
      </w:tr>
      <w:tr w:rsidR="0000013D" w:rsidRPr="0000013D" w:rsidTr="00EC428E">
        <w:trPr>
          <w:cantSplit/>
        </w:trPr>
        <w:tc>
          <w:tcPr>
            <w:tcW w:w="2265" w:type="dxa"/>
            <w:shd w:val="clear" w:color="auto" w:fill="FFE599" w:themeFill="accent4" w:themeFillTint="66"/>
          </w:tcPr>
          <w:p w:rsidR="0000013D" w:rsidRPr="0000013D" w:rsidRDefault="00FA1C32" w:rsidP="00FA24D1">
            <w:pPr>
              <w:rPr>
                <w:rFonts w:ascii="Times New Roman" w:hAnsi="Times New Roman" w:cs="Times New Roman"/>
              </w:rPr>
            </w:pPr>
            <w:r w:rsidRPr="00FA1C32">
              <w:rPr>
                <w:rFonts w:ascii="Times New Roman" w:hAnsi="Times New Roman" w:cs="Times New Roman"/>
              </w:rPr>
              <w:lastRenderedPageBreak/>
              <w:t>9</w:t>
            </w:r>
            <w:r w:rsidR="00FA24D1">
              <w:rPr>
                <w:rFonts w:ascii="Times New Roman" w:hAnsi="Times New Roman" w:cs="Times New Roman"/>
              </w:rPr>
              <w:t>10</w:t>
            </w:r>
            <w:r w:rsidRPr="00FA1C32">
              <w:rPr>
                <w:rFonts w:ascii="Times New Roman" w:hAnsi="Times New Roman" w:cs="Times New Roman"/>
              </w:rPr>
              <w:t xml:space="preserve"> </w:t>
            </w:r>
            <w:r w:rsidR="00FA24D1">
              <w:rPr>
                <w:rFonts w:ascii="Times New Roman" w:hAnsi="Times New Roman" w:cs="Times New Roman"/>
              </w:rPr>
              <w:t>–</w:t>
            </w:r>
            <w:r w:rsidRPr="00FA1C32">
              <w:rPr>
                <w:rFonts w:ascii="Times New Roman" w:hAnsi="Times New Roman" w:cs="Times New Roman"/>
              </w:rPr>
              <w:t xml:space="preserve"> </w:t>
            </w:r>
            <w:r w:rsidR="00FA24D1">
              <w:rPr>
                <w:rFonts w:ascii="Times New Roman" w:hAnsi="Times New Roman" w:cs="Times New Roman"/>
              </w:rPr>
              <w:t>Jednotkové výdavky</w:t>
            </w:r>
          </w:p>
        </w:tc>
        <w:tc>
          <w:tcPr>
            <w:tcW w:w="1954" w:type="dxa"/>
          </w:tcPr>
          <w:p w:rsidR="0000013D" w:rsidRPr="005F3B7C" w:rsidRDefault="00D97033" w:rsidP="00D97033">
            <w:pPr>
              <w:rPr>
                <w:rFonts w:ascii="Times New Roman" w:hAnsi="Times New Roman" w:cs="Times New Roman"/>
              </w:rPr>
            </w:pPr>
            <w:r w:rsidRPr="005F3B7C">
              <w:rPr>
                <w:rFonts w:ascii="Times New Roman" w:hAnsi="Times New Roman" w:cs="Times New Roman"/>
              </w:rPr>
              <w:t>115</w:t>
            </w:r>
            <w:r w:rsidR="0000013D" w:rsidRPr="005F3B7C">
              <w:rPr>
                <w:rFonts w:ascii="Times New Roman" w:hAnsi="Times New Roman" w:cs="Times New Roman"/>
              </w:rPr>
              <w:t> </w:t>
            </w:r>
            <w:r w:rsidRPr="005F3B7C">
              <w:rPr>
                <w:rFonts w:ascii="Times New Roman" w:hAnsi="Times New Roman" w:cs="Times New Roman"/>
              </w:rPr>
              <w:t>528</w:t>
            </w:r>
            <w:r w:rsidR="0000013D" w:rsidRPr="005F3B7C">
              <w:rPr>
                <w:rFonts w:ascii="Times New Roman" w:hAnsi="Times New Roman" w:cs="Times New Roman"/>
              </w:rPr>
              <w:t> </w:t>
            </w:r>
            <w:r w:rsidRPr="005F3B7C">
              <w:rPr>
                <w:rFonts w:ascii="Times New Roman" w:hAnsi="Times New Roman" w:cs="Times New Roman"/>
              </w:rPr>
              <w:t>400</w:t>
            </w:r>
            <w:r w:rsidR="0000013D" w:rsidRPr="005F3B7C">
              <w:rPr>
                <w:rFonts w:ascii="Times New Roman" w:hAnsi="Times New Roman" w:cs="Times New Roman"/>
              </w:rPr>
              <w:t xml:space="preserve"> EUR</w:t>
            </w:r>
          </w:p>
        </w:tc>
        <w:tc>
          <w:tcPr>
            <w:tcW w:w="4843" w:type="dxa"/>
          </w:tcPr>
          <w:p w:rsidR="0000013D" w:rsidRPr="005F3B7C" w:rsidRDefault="0000013D" w:rsidP="001012C6">
            <w:pPr>
              <w:jc w:val="both"/>
              <w:rPr>
                <w:rFonts w:ascii="Times New Roman" w:hAnsi="Times New Roman" w:cs="Times New Roman"/>
              </w:rPr>
            </w:pPr>
            <w:r w:rsidRPr="005F3B7C">
              <w:rPr>
                <w:rFonts w:ascii="Times New Roman" w:hAnsi="Times New Roman" w:cs="Times New Roman"/>
              </w:rPr>
              <w:t xml:space="preserve">Verejná podpora vyplatená prijímateľom na riešenie migračných výziev vyplývajúcich z vojenskej agresie zo strany Ruskej federácie. </w:t>
            </w:r>
            <w:r w:rsidR="00B64338" w:rsidRPr="005F3B7C">
              <w:rPr>
                <w:rFonts w:ascii="Times New Roman" w:hAnsi="Times New Roman" w:cs="Times New Roman"/>
              </w:rPr>
              <w:t>V súčasnosti</w:t>
            </w:r>
            <w:r w:rsidR="00841A31">
              <w:rPr>
                <w:rFonts w:ascii="Times New Roman" w:hAnsi="Times New Roman" w:cs="Times New Roman"/>
              </w:rPr>
              <w:t xml:space="preserve"> </w:t>
            </w:r>
            <w:r w:rsidRPr="005F3B7C">
              <w:rPr>
                <w:rFonts w:ascii="Times New Roman" w:hAnsi="Times New Roman" w:cs="Times New Roman"/>
              </w:rPr>
              <w:t xml:space="preserve">počet utečencov s dočasným útočiskom dosahuje </w:t>
            </w:r>
            <w:r w:rsidR="00807FD0" w:rsidRPr="005F3B7C">
              <w:rPr>
                <w:rFonts w:ascii="Times New Roman" w:hAnsi="Times New Roman" w:cs="Times New Roman"/>
              </w:rPr>
              <w:t xml:space="preserve">93 248 </w:t>
            </w:r>
            <w:r w:rsidRPr="005F3B7C">
              <w:rPr>
                <w:rFonts w:ascii="Times New Roman" w:hAnsi="Times New Roman" w:cs="Times New Roman"/>
              </w:rPr>
              <w:t xml:space="preserve">osôb </w:t>
            </w:r>
            <w:r w:rsidR="00A611BD">
              <w:rPr>
                <w:rFonts w:ascii="Times New Roman" w:hAnsi="Times New Roman" w:cs="Times New Roman"/>
              </w:rPr>
              <w:t>(z toho 48 814 podporených prostredníctvom samospráv a 44 434 podporených prostredníctvo</w:t>
            </w:r>
            <w:r w:rsidR="00841A31">
              <w:rPr>
                <w:rFonts w:ascii="Times New Roman" w:hAnsi="Times New Roman" w:cs="Times New Roman"/>
              </w:rPr>
              <w:t>m</w:t>
            </w:r>
            <w:r w:rsidR="00A611BD">
              <w:rPr>
                <w:rFonts w:ascii="Times New Roman" w:hAnsi="Times New Roman" w:cs="Times New Roman"/>
              </w:rPr>
              <w:t xml:space="preserve"> orgánov štátnej správy) </w:t>
            </w:r>
            <w:r w:rsidRPr="005F3B7C">
              <w:rPr>
                <w:rFonts w:ascii="Times New Roman" w:hAnsi="Times New Roman" w:cs="Times New Roman"/>
              </w:rPr>
              <w:t>na území SR</w:t>
            </w:r>
            <w:r w:rsidR="00807FD0" w:rsidRPr="005F3B7C">
              <w:rPr>
                <w:rFonts w:ascii="Times New Roman" w:hAnsi="Times New Roman" w:cs="Times New Roman"/>
              </w:rPr>
              <w:t xml:space="preserve"> k novembru 2022</w:t>
            </w:r>
            <w:r w:rsidRPr="005F3B7C">
              <w:rPr>
                <w:rFonts w:ascii="Times New Roman" w:hAnsi="Times New Roman" w:cs="Times New Roman"/>
              </w:rPr>
              <w:t>. Podľa článku 68c nariadenia 1303/2013  jednotkové náklady sú vo výške 100 EUR na týždeň za každý celý týždeň alebo čiastočný týždeň, v ktorom sa daná osoba nachádza v dotknutom členskom štáte. Jednotkové náklady sa môžu využívať celkovo najviac 26 týždňov odo dňa príchodu osoby do Únie. Jedná sa o 4</w:t>
            </w:r>
            <w:r w:rsidR="00D97033" w:rsidRPr="005F3B7C">
              <w:rPr>
                <w:rFonts w:ascii="Times New Roman" w:hAnsi="Times New Roman" w:cs="Times New Roman"/>
              </w:rPr>
              <w:t>4</w:t>
            </w:r>
            <w:r w:rsidRPr="005F3B7C">
              <w:rPr>
                <w:rFonts w:ascii="Times New Roman" w:hAnsi="Times New Roman" w:cs="Times New Roman"/>
              </w:rPr>
              <w:t> </w:t>
            </w:r>
            <w:r w:rsidR="00D97033" w:rsidRPr="005F3B7C">
              <w:rPr>
                <w:rFonts w:ascii="Times New Roman" w:hAnsi="Times New Roman" w:cs="Times New Roman"/>
              </w:rPr>
              <w:t>434</w:t>
            </w:r>
            <w:r w:rsidRPr="005F3B7C">
              <w:rPr>
                <w:rFonts w:ascii="Times New Roman" w:hAnsi="Times New Roman" w:cs="Times New Roman"/>
              </w:rPr>
              <w:t xml:space="preserve"> osôb s dočasným útočiskom na území SR počas 26 týždňov pri jednotkovej sadzbe 100 EUR za zložku štát. </w:t>
            </w:r>
          </w:p>
        </w:tc>
      </w:tr>
      <w:tr w:rsidR="0000013D" w:rsidRPr="0000013D" w:rsidTr="00EC428E">
        <w:trPr>
          <w:cantSplit/>
        </w:trPr>
        <w:tc>
          <w:tcPr>
            <w:tcW w:w="2265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  <w:b/>
              </w:rPr>
              <w:t>Hlavné aktivity SPOLU</w:t>
            </w:r>
          </w:p>
        </w:tc>
        <w:tc>
          <w:tcPr>
            <w:tcW w:w="1954" w:type="dxa"/>
          </w:tcPr>
          <w:p w:rsidR="0000013D" w:rsidRPr="0000013D" w:rsidRDefault="00D97033" w:rsidP="00D970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  <w:r w:rsidR="0000013D" w:rsidRPr="000001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528</w:t>
            </w:r>
            <w:r w:rsidR="0000013D" w:rsidRPr="0000013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400</w:t>
            </w:r>
            <w:r w:rsidR="0000013D" w:rsidRPr="0000013D">
              <w:rPr>
                <w:rFonts w:ascii="Times New Roman" w:hAnsi="Times New Roman" w:cs="Times New Roman"/>
              </w:rPr>
              <w:t xml:space="preserve"> EUR</w:t>
            </w:r>
          </w:p>
        </w:tc>
        <w:tc>
          <w:tcPr>
            <w:tcW w:w="4843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</w:p>
        </w:tc>
      </w:tr>
      <w:tr w:rsidR="0000013D" w:rsidRPr="0000013D" w:rsidTr="00EC428E">
        <w:trPr>
          <w:cantSplit/>
        </w:trPr>
        <w:tc>
          <w:tcPr>
            <w:tcW w:w="2265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 xml:space="preserve">Predpokladané finančné prostriedky na podporné aktivity </w:t>
            </w:r>
          </w:p>
        </w:tc>
        <w:tc>
          <w:tcPr>
            <w:tcW w:w="1954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3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</w:p>
        </w:tc>
      </w:tr>
      <w:tr w:rsidR="0000013D" w:rsidRPr="0000013D" w:rsidTr="00EC428E">
        <w:trPr>
          <w:cantSplit/>
        </w:trPr>
        <w:tc>
          <w:tcPr>
            <w:tcW w:w="2265" w:type="dxa"/>
            <w:shd w:val="clear" w:color="auto" w:fill="FFE599" w:themeFill="accent4" w:themeFillTint="66"/>
          </w:tcPr>
          <w:p w:rsidR="0000013D" w:rsidRPr="0000013D" w:rsidRDefault="00677545" w:rsidP="006775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  <w:r w:rsidR="0000013D" w:rsidRPr="000001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00013D" w:rsidRPr="000001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Mzdové výdavky</w:t>
            </w:r>
          </w:p>
        </w:tc>
        <w:tc>
          <w:tcPr>
            <w:tcW w:w="1954" w:type="dxa"/>
          </w:tcPr>
          <w:p w:rsidR="0000013D" w:rsidRPr="0000013D" w:rsidRDefault="0000013D" w:rsidP="00677545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 </w:t>
            </w:r>
            <w:r w:rsidR="00677545">
              <w:rPr>
                <w:rFonts w:ascii="Times New Roman" w:hAnsi="Times New Roman" w:cs="Times New Roman"/>
              </w:rPr>
              <w:t>69 620</w:t>
            </w:r>
            <w:r w:rsidRPr="0000013D">
              <w:rPr>
                <w:rFonts w:ascii="Times New Roman" w:hAnsi="Times New Roman" w:cs="Times New Roman"/>
              </w:rPr>
              <w:t> EUR</w:t>
            </w:r>
          </w:p>
        </w:tc>
        <w:tc>
          <w:tcPr>
            <w:tcW w:w="4843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personálne výdavky priamo súvisiace s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prípravou, riadením a administráciou</w:t>
            </w:r>
          </w:p>
          <w:p w:rsidR="00677545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projektu (projektoví a</w:t>
            </w:r>
            <w:r w:rsidR="00677545">
              <w:rPr>
                <w:rFonts w:ascii="Times New Roman" w:hAnsi="Times New Roman" w:cs="Times New Roman"/>
              </w:rPr>
              <w:t xml:space="preserve"> </w:t>
            </w:r>
            <w:r w:rsidRPr="0000013D">
              <w:rPr>
                <w:rFonts w:ascii="Times New Roman" w:hAnsi="Times New Roman" w:cs="Times New Roman"/>
              </w:rPr>
              <w:t xml:space="preserve">finanční manažéri prijímateľa </w:t>
            </w:r>
            <w:r w:rsidR="00677545">
              <w:rPr>
                <w:rFonts w:ascii="Times New Roman" w:hAnsi="Times New Roman" w:cs="Times New Roman"/>
              </w:rPr>
              <w:t>za obdobie 03/2022 do 06/2023)</w:t>
            </w:r>
          </w:p>
          <w:p w:rsidR="00677545" w:rsidRPr="0000013D" w:rsidRDefault="00677545" w:rsidP="00677545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personálne výdavky priamo súvisiace s</w:t>
            </w:r>
          </w:p>
          <w:p w:rsidR="0000013D" w:rsidRPr="0000013D" w:rsidRDefault="00677545" w:rsidP="00677545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</w:rPr>
              <w:t>administráciou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013D">
              <w:rPr>
                <w:rFonts w:ascii="Times New Roman" w:hAnsi="Times New Roman" w:cs="Times New Roman"/>
              </w:rPr>
              <w:t xml:space="preserve">projektu </w:t>
            </w:r>
            <w:r>
              <w:rPr>
                <w:rFonts w:ascii="Times New Roman" w:hAnsi="Times New Roman" w:cs="Times New Roman"/>
              </w:rPr>
              <w:t xml:space="preserve">za obdobie 01/2023 – 06/2023 </w:t>
            </w:r>
            <w:r w:rsidR="0000013D" w:rsidRPr="0000013D">
              <w:rPr>
                <w:rFonts w:ascii="Times New Roman" w:hAnsi="Times New Roman" w:cs="Times New Roman"/>
              </w:rPr>
              <w:t>partnera</w:t>
            </w:r>
            <w:r>
              <w:rPr>
                <w:rFonts w:ascii="Times New Roman" w:hAnsi="Times New Roman" w:cs="Times New Roman"/>
              </w:rPr>
              <w:t xml:space="preserve"> projektu</w:t>
            </w:r>
            <w:r w:rsidR="0000013D" w:rsidRPr="000001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 zmysle PpZ</w:t>
            </w:r>
          </w:p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</w:p>
        </w:tc>
      </w:tr>
      <w:tr w:rsidR="00323CC0" w:rsidRPr="0000013D" w:rsidTr="00EC428E">
        <w:trPr>
          <w:cantSplit/>
        </w:trPr>
        <w:tc>
          <w:tcPr>
            <w:tcW w:w="2265" w:type="dxa"/>
            <w:shd w:val="clear" w:color="auto" w:fill="FFE599" w:themeFill="accent4" w:themeFillTint="66"/>
          </w:tcPr>
          <w:p w:rsidR="00323CC0" w:rsidRPr="0000013D" w:rsidRDefault="00323CC0" w:rsidP="00EC4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 Ostatné služby</w:t>
            </w:r>
          </w:p>
        </w:tc>
        <w:tc>
          <w:tcPr>
            <w:tcW w:w="1954" w:type="dxa"/>
          </w:tcPr>
          <w:p w:rsidR="00323CC0" w:rsidRPr="0000013D" w:rsidRDefault="00323CC0" w:rsidP="00EC4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1 500 036 EUR</w:t>
            </w:r>
          </w:p>
        </w:tc>
        <w:tc>
          <w:tcPr>
            <w:tcW w:w="4843" w:type="dxa"/>
          </w:tcPr>
          <w:p w:rsidR="00323CC0" w:rsidRPr="00323CC0" w:rsidRDefault="00BA419E" w:rsidP="00323C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Celoplošná informačná kampaň prostredníctvom oprávnených komunikačných nástrojov v zmysle MP ÚV SR č. 16</w:t>
            </w:r>
            <w:r w:rsidR="00677545">
              <w:rPr>
                <w:rFonts w:ascii="Times New Roman" w:hAnsi="Times New Roman" w:cs="Times New Roman"/>
              </w:rPr>
              <w:t xml:space="preserve"> ohľadom pomoci EK</w:t>
            </w:r>
          </w:p>
          <w:p w:rsidR="00323CC0" w:rsidRPr="0000013D" w:rsidRDefault="00323CC0" w:rsidP="00677545">
            <w:pPr>
              <w:rPr>
                <w:rFonts w:ascii="Times New Roman" w:hAnsi="Times New Roman" w:cs="Times New Roman"/>
              </w:rPr>
            </w:pPr>
            <w:r w:rsidRPr="00323CC0">
              <w:rPr>
                <w:rFonts w:ascii="Times New Roman" w:hAnsi="Times New Roman" w:cs="Times New Roman"/>
              </w:rPr>
              <w:t>s celoplošným dosahom na</w:t>
            </w:r>
            <w:r w:rsidR="00677545">
              <w:rPr>
                <w:rFonts w:ascii="Times New Roman" w:hAnsi="Times New Roman" w:cs="Times New Roman"/>
              </w:rPr>
              <w:t xml:space="preserve"> </w:t>
            </w:r>
            <w:r w:rsidRPr="00323CC0">
              <w:rPr>
                <w:rFonts w:ascii="Times New Roman" w:hAnsi="Times New Roman" w:cs="Times New Roman"/>
              </w:rPr>
              <w:t>obyvateľov SR</w:t>
            </w:r>
            <w:r w:rsidR="00677545">
              <w:rPr>
                <w:rFonts w:ascii="Times New Roman" w:hAnsi="Times New Roman" w:cs="Times New Roman"/>
              </w:rPr>
              <w:t xml:space="preserve"> a povinná publicita v zmysle PpZ</w:t>
            </w:r>
            <w:r w:rsidR="00BA419E">
              <w:rPr>
                <w:rFonts w:ascii="Times New Roman" w:hAnsi="Times New Roman" w:cs="Times New Roman"/>
              </w:rPr>
              <w:t xml:space="preserve"> IROP (stála tabuľa)</w:t>
            </w:r>
          </w:p>
        </w:tc>
      </w:tr>
      <w:tr w:rsidR="0000013D" w:rsidRPr="0000013D" w:rsidTr="00EC428E">
        <w:trPr>
          <w:cantSplit/>
        </w:trPr>
        <w:tc>
          <w:tcPr>
            <w:tcW w:w="2265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  <w:r w:rsidRPr="0000013D">
              <w:rPr>
                <w:rFonts w:ascii="Times New Roman" w:hAnsi="Times New Roman" w:cs="Times New Roman"/>
                <w:b/>
              </w:rPr>
              <w:t>Podporné aktivity SPOLU</w:t>
            </w:r>
          </w:p>
        </w:tc>
        <w:tc>
          <w:tcPr>
            <w:tcW w:w="1954" w:type="dxa"/>
          </w:tcPr>
          <w:p w:rsidR="0000013D" w:rsidRPr="0000013D" w:rsidRDefault="00CC4276" w:rsidP="00CC4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013D" w:rsidRPr="0000013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569</w:t>
            </w:r>
            <w:r w:rsidR="0000013D" w:rsidRPr="0000013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656</w:t>
            </w:r>
            <w:r w:rsidR="0000013D" w:rsidRPr="0000013D">
              <w:rPr>
                <w:rFonts w:ascii="Times New Roman" w:hAnsi="Times New Roman" w:cs="Times New Roman"/>
              </w:rPr>
              <w:t xml:space="preserve"> EUR</w:t>
            </w:r>
          </w:p>
        </w:tc>
        <w:tc>
          <w:tcPr>
            <w:tcW w:w="4843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</w:p>
        </w:tc>
      </w:tr>
      <w:tr w:rsidR="0000013D" w:rsidRPr="0000013D" w:rsidTr="00EC428E">
        <w:trPr>
          <w:cantSplit/>
        </w:trPr>
        <w:tc>
          <w:tcPr>
            <w:tcW w:w="2265" w:type="dxa"/>
            <w:shd w:val="clear" w:color="auto" w:fill="FFE599" w:themeFill="accent4" w:themeFillTint="66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  <w:b/>
              </w:rPr>
            </w:pPr>
            <w:r w:rsidRPr="0000013D">
              <w:rPr>
                <w:rFonts w:ascii="Times New Roman" w:hAnsi="Times New Roman" w:cs="Times New Roman"/>
                <w:b/>
              </w:rPr>
              <w:t>CELKOM</w:t>
            </w:r>
          </w:p>
        </w:tc>
        <w:tc>
          <w:tcPr>
            <w:tcW w:w="1954" w:type="dxa"/>
          </w:tcPr>
          <w:p w:rsidR="0000013D" w:rsidRPr="0000013D" w:rsidRDefault="00CC4276" w:rsidP="00CC4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 w:rsidR="0000013D" w:rsidRPr="0000013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098</w:t>
            </w:r>
            <w:r w:rsidR="0000013D" w:rsidRPr="0000013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056</w:t>
            </w:r>
            <w:r w:rsidR="0000013D" w:rsidRPr="0000013D">
              <w:rPr>
                <w:rFonts w:ascii="Times New Roman" w:hAnsi="Times New Roman" w:cs="Times New Roman"/>
              </w:rPr>
              <w:t xml:space="preserve"> EUR</w:t>
            </w:r>
          </w:p>
        </w:tc>
        <w:tc>
          <w:tcPr>
            <w:tcW w:w="4843" w:type="dxa"/>
          </w:tcPr>
          <w:p w:rsidR="0000013D" w:rsidRPr="0000013D" w:rsidRDefault="0000013D" w:rsidP="00EC428E">
            <w:pPr>
              <w:rPr>
                <w:rFonts w:ascii="Times New Roman" w:hAnsi="Times New Roman" w:cs="Times New Roman"/>
              </w:rPr>
            </w:pPr>
          </w:p>
        </w:tc>
      </w:tr>
    </w:tbl>
    <w:p w:rsidR="0000013D" w:rsidRPr="0000013D" w:rsidRDefault="0000013D" w:rsidP="0000013D">
      <w:pPr>
        <w:rPr>
          <w:rFonts w:ascii="Times New Roman" w:hAnsi="Times New Roman" w:cs="Times New Roman"/>
        </w:rPr>
      </w:pPr>
    </w:p>
    <w:p w:rsidR="0000013D" w:rsidRPr="0000013D" w:rsidRDefault="0000013D" w:rsidP="0000013D">
      <w:pPr>
        <w:pStyle w:val="Odsekzoznamu"/>
        <w:numPr>
          <w:ilvl w:val="0"/>
          <w:numId w:val="2"/>
        </w:numPr>
        <w:contextualSpacing w:val="0"/>
        <w:jc w:val="both"/>
      </w:pPr>
      <w:r w:rsidRPr="0000013D">
        <w:t xml:space="preserve">Deklarujte, že NP vyhovuje </w:t>
      </w:r>
      <w:r w:rsidRPr="0000013D">
        <w:rPr>
          <w:b/>
        </w:rPr>
        <w:t>zásade doplnkovosti</w:t>
      </w:r>
      <w:r w:rsidRPr="0000013D">
        <w:t xml:space="preserve"> (t. j. nenahrádza verejné </w:t>
      </w:r>
      <w:r w:rsidRPr="0000013D">
        <w:br/>
        <w:t>alebo ekvivalentné štrukturálne výdavky členského štátu v súlade s článkom 95 všeobecného nariadenia). Národný projekt vyhovuje zásade doplnkovosti v súlade s článkom 95 všeobecného nariadenia, čo znamená, že nenahrádza verejné alebo ekvivalentné štrukturálne výdavky členského štátu. Výdavky na národný projekt sú doplnkom vnútroštátneho verejného financovania a nemajú za následok zníženie vnútroštátnych štrukturálnych výdavkov</w:t>
      </w:r>
    </w:p>
    <w:p w:rsidR="0000013D" w:rsidRPr="0000013D" w:rsidRDefault="0000013D" w:rsidP="0000013D">
      <w:pPr>
        <w:pStyle w:val="Odsekzoznamu"/>
        <w:ind w:left="284"/>
        <w:contextualSpacing w:val="0"/>
        <w:jc w:val="both"/>
      </w:pPr>
    </w:p>
    <w:p w:rsidR="0000013D" w:rsidRPr="0000013D" w:rsidRDefault="0000013D" w:rsidP="0000013D">
      <w:pPr>
        <w:pStyle w:val="Odsekzoznamu"/>
        <w:numPr>
          <w:ilvl w:val="0"/>
          <w:numId w:val="2"/>
        </w:numPr>
        <w:ind w:left="426" w:hanging="426"/>
        <w:contextualSpacing w:val="0"/>
        <w:jc w:val="both"/>
      </w:pPr>
      <w:r w:rsidRPr="0000013D">
        <w:t xml:space="preserve">Bude v národnom projekte využité zjednodušené vykazovanie výdavkov? Ak áno, aký typ? </w:t>
      </w:r>
    </w:p>
    <w:p w:rsidR="0000013D" w:rsidRPr="0000013D" w:rsidRDefault="004E297B" w:rsidP="0000013D">
      <w:pPr>
        <w:rPr>
          <w:rFonts w:ascii="Times New Roman" w:hAnsi="Times New Roman" w:cs="Times New Roman"/>
        </w:rPr>
      </w:pPr>
      <w:r w:rsidRPr="004E297B">
        <w:rPr>
          <w:rFonts w:ascii="Times New Roman" w:hAnsi="Times New Roman" w:cs="Times New Roman"/>
        </w:rPr>
        <w:t xml:space="preserve">Áno - Jednotkové náklady na operácie zamerané na riešenie migračných výziev vyplývajúcich z vojenskej agresie zo strany Ruskej federácie podľa článku 68c nariadenia 1303/2013. </w:t>
      </w:r>
    </w:p>
    <w:p w:rsidR="0000013D" w:rsidRPr="0000013D" w:rsidRDefault="0000013D" w:rsidP="0000013D">
      <w:pPr>
        <w:pStyle w:val="Odsekzoznamu"/>
        <w:numPr>
          <w:ilvl w:val="0"/>
          <w:numId w:val="2"/>
        </w:numPr>
        <w:ind w:left="426" w:hanging="426"/>
        <w:contextualSpacing w:val="0"/>
        <w:jc w:val="both"/>
      </w:pPr>
      <w:r w:rsidRPr="0000013D">
        <w:t>Štúdia uskutočniteľnosti vrátane analýzy nákladov a prínosov</w:t>
      </w:r>
    </w:p>
    <w:p w:rsidR="0000013D" w:rsidRPr="0000013D" w:rsidRDefault="0000013D" w:rsidP="0000013D">
      <w:pPr>
        <w:ind w:left="426"/>
        <w:jc w:val="both"/>
        <w:rPr>
          <w:rFonts w:ascii="Times New Roman" w:hAnsi="Times New Roman" w:cs="Times New Roman"/>
          <w:i/>
        </w:rPr>
      </w:pPr>
      <w:r w:rsidRPr="0000013D">
        <w:rPr>
          <w:rFonts w:ascii="Times New Roman" w:hAnsi="Times New Roman" w:cs="Times New Roman"/>
          <w:i/>
        </w:rPr>
        <w:lastRenderedPageBreak/>
        <w:t>Informácie sa vypĺňajú iba pre investičné</w:t>
      </w:r>
      <w:r w:rsidRPr="0000013D">
        <w:rPr>
          <w:rStyle w:val="Odkaznapoznmkupodiarou"/>
          <w:rFonts w:ascii="Times New Roman" w:hAnsi="Times New Roman"/>
          <w:i/>
        </w:rPr>
        <w:footnoteReference w:id="12"/>
      </w:r>
      <w:r w:rsidRPr="0000013D">
        <w:rPr>
          <w:rFonts w:ascii="Times New Roman" w:hAnsi="Times New Roman" w:cs="Times New Roman"/>
          <w:i/>
        </w:rPr>
        <w:t xml:space="preserve"> typy projektov. </w:t>
      </w:r>
    </w:p>
    <w:p w:rsidR="0000013D" w:rsidRPr="0000013D" w:rsidRDefault="0000013D" w:rsidP="0000013D">
      <w:pPr>
        <w:jc w:val="both"/>
        <w:rPr>
          <w:rFonts w:ascii="Times New Roman" w:hAnsi="Times New Roman" w:cs="Times New Roman"/>
          <w:i/>
        </w:rPr>
      </w:pPr>
    </w:p>
    <w:tbl>
      <w:tblPr>
        <w:tblStyle w:val="Mriekatabuky"/>
        <w:tblW w:w="9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1"/>
        <w:gridCol w:w="5698"/>
      </w:tblGrid>
      <w:tr w:rsidR="0000013D" w:rsidRPr="0000013D" w:rsidTr="00EC428E">
        <w:tc>
          <w:tcPr>
            <w:tcW w:w="9299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</w:tcPr>
          <w:p w:rsidR="0000013D" w:rsidRPr="0000013D" w:rsidRDefault="0000013D" w:rsidP="00EC428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00013D">
              <w:rPr>
                <w:rFonts w:ascii="Times New Roman" w:eastAsia="Calibri" w:hAnsi="Times New Roman" w:cs="Times New Roman"/>
                <w:b/>
                <w:bCs/>
                <w:iCs/>
              </w:rPr>
              <w:t>Štúdia uskutočniteľnosti vrátane analýzy nákladov a prínosov</w:t>
            </w:r>
          </w:p>
        </w:tc>
      </w:tr>
      <w:tr w:rsidR="0000013D" w:rsidRPr="0000013D" w:rsidTr="00EC428E">
        <w:tc>
          <w:tcPr>
            <w:tcW w:w="360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:rsidR="0000013D" w:rsidRPr="0000013D" w:rsidRDefault="0000013D" w:rsidP="00EC428E">
            <w:pPr>
              <w:spacing w:before="60" w:after="60"/>
              <w:rPr>
                <w:rFonts w:ascii="Times New Roman" w:eastAsia="Calibri" w:hAnsi="Times New Roman" w:cs="Times New Roman"/>
                <w:bCs/>
                <w:iCs/>
              </w:rPr>
            </w:pPr>
            <w:r w:rsidRPr="0000013D">
              <w:rPr>
                <w:rFonts w:ascii="Times New Roman" w:eastAsia="Calibri" w:hAnsi="Times New Roman" w:cs="Times New Roman"/>
                <w:bCs/>
                <w:iCs/>
              </w:rPr>
              <w:t>Existuje relevantná štúdia uskutočniteľnosti</w:t>
            </w:r>
            <w:r w:rsidRPr="0000013D">
              <w:rPr>
                <w:rStyle w:val="Odkaznapoznmkupodiarou"/>
                <w:rFonts w:ascii="Times New Roman" w:eastAsia="Calibri" w:hAnsi="Times New Roman"/>
                <w:b/>
                <w:bCs/>
                <w:iCs/>
              </w:rPr>
              <w:footnoteReference w:id="13"/>
            </w:r>
            <w:r w:rsidRPr="0000013D">
              <w:rPr>
                <w:rFonts w:ascii="Times New Roman" w:eastAsia="Calibri" w:hAnsi="Times New Roman" w:cs="Times New Roman"/>
                <w:bCs/>
                <w:iCs/>
              </w:rPr>
              <w:t xml:space="preserve"> ? (áno/nie)</w:t>
            </w:r>
          </w:p>
        </w:tc>
        <w:tc>
          <w:tcPr>
            <w:tcW w:w="5698" w:type="dxa"/>
          </w:tcPr>
          <w:p w:rsidR="0000013D" w:rsidRPr="0000013D" w:rsidRDefault="0000013D" w:rsidP="00EC428E">
            <w:pPr>
              <w:spacing w:before="120" w:after="120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00013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nie</w:t>
            </w:r>
          </w:p>
        </w:tc>
      </w:tr>
      <w:tr w:rsidR="0000013D" w:rsidRPr="0000013D" w:rsidTr="00EC428E">
        <w:tc>
          <w:tcPr>
            <w:tcW w:w="3601" w:type="dxa"/>
            <w:tcBorders>
              <w:top w:val="single" w:sz="2" w:space="0" w:color="auto"/>
              <w:bottom w:val="single" w:sz="2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:rsidR="0000013D" w:rsidRPr="0000013D" w:rsidRDefault="0000013D" w:rsidP="00EC428E">
            <w:pPr>
              <w:spacing w:after="60"/>
              <w:rPr>
                <w:rFonts w:ascii="Times New Roman" w:eastAsia="Calibri" w:hAnsi="Times New Roman" w:cs="Times New Roman"/>
                <w:bCs/>
                <w:iCs/>
              </w:rPr>
            </w:pPr>
            <w:r w:rsidRPr="0000013D">
              <w:rPr>
                <w:rFonts w:ascii="Times New Roman" w:eastAsia="Calibri" w:hAnsi="Times New Roman" w:cs="Times New Roman"/>
                <w:bCs/>
                <w:iCs/>
              </w:rPr>
              <w:t>Ak je štúdia uskutočniteľnosti dostupná na internete , uveďte jej názov a internetovú adresu, kde je štúdia zverejnená</w:t>
            </w:r>
          </w:p>
        </w:tc>
        <w:tc>
          <w:tcPr>
            <w:tcW w:w="5698" w:type="dxa"/>
            <w:tcBorders>
              <w:bottom w:val="single" w:sz="2" w:space="0" w:color="auto"/>
            </w:tcBorders>
          </w:tcPr>
          <w:p w:rsidR="0000013D" w:rsidRPr="0000013D" w:rsidRDefault="0000013D" w:rsidP="00EC428E">
            <w:pPr>
              <w:spacing w:before="120" w:after="120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00013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nie</w:t>
            </w:r>
          </w:p>
        </w:tc>
      </w:tr>
      <w:tr w:rsidR="0000013D" w:rsidRPr="0000013D" w:rsidTr="00EC428E">
        <w:tc>
          <w:tcPr>
            <w:tcW w:w="36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:rsidR="0000013D" w:rsidRPr="0000013D" w:rsidRDefault="0000013D" w:rsidP="00EC428E">
            <w:pPr>
              <w:spacing w:before="60" w:after="60"/>
              <w:rPr>
                <w:rFonts w:ascii="Times New Roman" w:eastAsia="Calibri" w:hAnsi="Times New Roman" w:cs="Times New Roman"/>
                <w:bCs/>
                <w:iCs/>
              </w:rPr>
            </w:pPr>
            <w:r w:rsidRPr="0000013D">
              <w:rPr>
                <w:rFonts w:ascii="Times New Roman" w:eastAsia="Calibri" w:hAnsi="Times New Roman" w:cs="Times New Roman"/>
                <w:bCs/>
                <w:iCs/>
              </w:rPr>
              <w:t>V prípade, že štúdia uskutočniteľnosti nie je  dostupná na internete, uveďte webové sídlo a termín, v ktorom predpokladáte jej zverejnenie (mesiac/rok)</w:t>
            </w:r>
          </w:p>
        </w:tc>
        <w:tc>
          <w:tcPr>
            <w:tcW w:w="5698" w:type="dxa"/>
            <w:tcBorders>
              <w:top w:val="single" w:sz="2" w:space="0" w:color="auto"/>
              <w:bottom w:val="single" w:sz="12" w:space="0" w:color="auto"/>
            </w:tcBorders>
          </w:tcPr>
          <w:p w:rsidR="0000013D" w:rsidRPr="0000013D" w:rsidRDefault="0000013D" w:rsidP="00EC428E">
            <w:pPr>
              <w:spacing w:before="120" w:after="120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00013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Nebude sa vykonávať</w:t>
            </w:r>
          </w:p>
        </w:tc>
      </w:tr>
    </w:tbl>
    <w:p w:rsidR="0000013D" w:rsidRPr="0000013D" w:rsidRDefault="0000013D" w:rsidP="0000013D">
      <w:pPr>
        <w:jc w:val="both"/>
        <w:rPr>
          <w:rFonts w:ascii="Times New Roman" w:hAnsi="Times New Roman" w:cs="Times New Roman"/>
        </w:rPr>
      </w:pPr>
    </w:p>
    <w:p w:rsidR="002623CC" w:rsidRPr="0000013D" w:rsidRDefault="002623CC">
      <w:pPr>
        <w:rPr>
          <w:rFonts w:ascii="Times New Roman" w:hAnsi="Times New Roman" w:cs="Times New Roman"/>
        </w:rPr>
      </w:pPr>
    </w:p>
    <w:sectPr w:rsidR="002623CC" w:rsidRPr="0000013D" w:rsidSect="00EC42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88D" w:rsidRDefault="0030688D" w:rsidP="0000013D">
      <w:pPr>
        <w:spacing w:after="0" w:line="240" w:lineRule="auto"/>
      </w:pPr>
      <w:r>
        <w:separator/>
      </w:r>
    </w:p>
  </w:endnote>
  <w:endnote w:type="continuationSeparator" w:id="0">
    <w:p w:rsidR="0030688D" w:rsidRDefault="0030688D" w:rsidP="0000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8E" w:rsidRDefault="00EC428E" w:rsidP="00EC428E">
    <w:pPr>
      <w:pStyle w:val="Pta"/>
      <w:jc w:val="right"/>
    </w:pPr>
    <w:r w:rsidRPr="00627EA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89531E" wp14:editId="66466F07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CE1982" id="Rovná spojnica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8O6ygEAAM0DAAAOAAAAZHJzL2Uyb0RvYy54bWysU02P0zAQvSPxHyzfadKwLRA13cOu4IKg&#10;Wj7uXmfcGNkeyzZp+3P4Lfwxxk42IEBaCXGx7Pi9N/OeJ7vrszVshBA1uo6vVzVn4CT22h07/unj&#10;62cvOYtJuF4YdNDxC0R+vX/6ZHfyLTQ4oOkhMBJxsT35jg8p+baqohzAirhCD44uFQYrEh3DseqD&#10;OJG6NVVT19vqhKH3ASXESF9vp0u+L/pKgUzvlYqQmOk49ZbKGsp6n9dqvxPtMQg/aDm3If6hCyu0&#10;o6KL1K1Ign0N+g8pq2XAiCqtJNoKldISigdys65/c/NhEB6KFwon+iWm+P9k5bvxEJjuO37FmROW&#10;nugOR/f9G4sevzgtBbvKIZ18bAl74w5hPkV/CNnxWQXLlNH+M71/yYBcsXOJ+LJEDOfEJH3cvNg2&#10;22bDmaS7VxvakVw1qWQ1H2J6A2hZ3nTcaJcDEK0Y38Y0QR8gxMtdTX2UXboYyGDj7kCRKar3vLDL&#10;OMGNCWwUNAhCSnCp+KLSBZ1pShuzEOvHiTM+U6GM2kJuHicvjFIZXVrIVjsMfxNI5/WclprwDwlM&#10;vnME99hfyguVaGhmSrjzfOeh/PVc6D//wv0PAAAA//8DAFBLAwQUAAYACAAAACEAeg/8Mt4AAAAH&#10;AQAADwAAAGRycy9kb3ducmV2LnhtbEyPMU/DQAyFdyT+w8lIbO2FlhYacqkKggUxlNKB0cm5SUTO&#10;l+Subfj3mAk22+/p+XvZenStOtEQGs8GbqYJKOLS24YrA/uPl8k9qBCRLbaeycA3BVjnlxcZptaf&#10;+Z1Ou1gpCeGQooE6xi7VOpQ1OQxT3xGLdvCDwyjrUGk74FnCXatnSbLUDhuWDzV29FRT+bU7OgNh&#10;s+/fXrfVdvF4cLfd6rkv+s/emOurcfMAKtIY/8zwiy/okAtT4Y9sg2oNTO7EaGA2lwIir5KlDIUc&#10;FnPQeab/8+c/AAAA//8DAFBLAQItABQABgAIAAAAIQC2gziS/gAAAOEBAAATAAAAAAAAAAAAAAAA&#10;AAAAAABbQ29udGVudF9UeXBlc10ueG1sUEsBAi0AFAAGAAgAAAAhADj9If/WAAAAlAEAAAsAAAAA&#10;AAAAAAAAAAAALwEAAF9yZWxzLy5yZWxzUEsBAi0AFAAGAAgAAAAhAJBPw7rKAQAAzQMAAA4AAAAA&#10;AAAAAAAAAAAALgIAAGRycy9lMm9Eb2MueG1sUEsBAi0AFAAGAAgAAAAhAHoP/DLeAAAABwEAAA8A&#10;AAAAAAAAAAAAAAAAJAQAAGRycy9kb3ducmV2LnhtbFBLBQYAAAAABAAEAPMAAAAvBQAAAAA=&#10;" strokecolor="#ffc000 [3207]" strokeweight="1.5pt">
              <v:stroke joinstyle="miter"/>
            </v:line>
          </w:pict>
        </mc:Fallback>
      </mc:AlternateContent>
    </w:r>
    <w:r>
      <w:t xml:space="preserve"> </w:t>
    </w:r>
  </w:p>
  <w:p w:rsidR="00EC428E" w:rsidRDefault="00EC428E" w:rsidP="00EC428E">
    <w:pPr>
      <w:pStyle w:val="Pta"/>
      <w:jc w:val="right"/>
    </w:pPr>
    <w:r w:rsidRPr="00627EA3">
      <w:rPr>
        <w:noProof/>
      </w:rPr>
      <w:drawing>
        <wp:anchor distT="0" distB="0" distL="114300" distR="114300" simplePos="0" relativeHeight="251660288" behindDoc="1" locked="0" layoutInCell="1" allowOverlap="1" wp14:anchorId="371E442C" wp14:editId="1F2A23A7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C3427">
          <w:rPr>
            <w:noProof/>
          </w:rPr>
          <w:t>2</w:t>
        </w:r>
        <w:r>
          <w:fldChar w:fldCharType="end"/>
        </w:r>
      </w:sdtContent>
    </w:sdt>
  </w:p>
  <w:p w:rsidR="00EC428E" w:rsidRDefault="00EC42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88D" w:rsidRDefault="0030688D" w:rsidP="0000013D">
      <w:pPr>
        <w:spacing w:after="0" w:line="240" w:lineRule="auto"/>
      </w:pPr>
      <w:r>
        <w:separator/>
      </w:r>
    </w:p>
  </w:footnote>
  <w:footnote w:type="continuationSeparator" w:id="0">
    <w:p w:rsidR="0030688D" w:rsidRDefault="0030688D" w:rsidP="0000013D">
      <w:pPr>
        <w:spacing w:after="0" w:line="240" w:lineRule="auto"/>
      </w:pPr>
      <w:r>
        <w:continuationSeparator/>
      </w:r>
    </w:p>
  </w:footnote>
  <w:footnote w:id="1">
    <w:p w:rsidR="00EC428E" w:rsidRDefault="00EC428E" w:rsidP="0000013D">
      <w:pPr>
        <w:pStyle w:val="Textpoznmkypodiarou"/>
      </w:pPr>
      <w:r>
        <w:rPr>
          <w:rStyle w:val="Odkaznapoznmkupodiarou"/>
        </w:rPr>
        <w:footnoteRef/>
      </w:r>
      <w:r>
        <w:t xml:space="preserve"> V tomto dokumente je používaný pojem prijímateľ a žiadateľ. Je to tá istá osoba, no technicky sa žiadateľ stáva prijímateľom až po podpísaní zmluvy o NFP.</w:t>
      </w:r>
    </w:p>
  </w:footnote>
  <w:footnote w:id="2">
    <w:p w:rsidR="00EC428E" w:rsidRDefault="00EC428E" w:rsidP="0000013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3028B">
        <w:rPr>
          <w:rFonts w:cstheme="minorHAnsi"/>
        </w:rPr>
        <w:t>Jednoznačne a stručne zdôvodnite výber prijímateľa NP ako jedinečnej osoby oprávnenej na realizáciu NP (napr. odkaz na platné predpisy, operačný program, národnú stratégiu, ktorá odôvodňuje jedinečnosť prijímateľa NP).</w:t>
      </w:r>
      <w:r w:rsidRPr="00A32AC2">
        <w:rPr>
          <w:rFonts w:cstheme="minorHAnsi"/>
          <w:i/>
        </w:rPr>
        <w:t xml:space="preserve"> </w:t>
      </w:r>
    </w:p>
  </w:footnote>
  <w:footnote w:id="3">
    <w:p w:rsidR="00EC428E" w:rsidRPr="0023028B" w:rsidRDefault="00EC428E" w:rsidP="0000013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3028B">
        <w:t>Uveďte dôvody pre výber partnerov (ekonomickí, sociálni, profes</w:t>
      </w:r>
      <w:r>
        <w:t>ij</w:t>
      </w:r>
      <w:r w:rsidRPr="0023028B">
        <w:t>ní...). Odôvodnite dôvody vylúčenia akejkoľvek tretej strany ako potenciálneho realizátora.</w:t>
      </w:r>
    </w:p>
  </w:footnote>
  <w:footnote w:id="4">
    <w:p w:rsidR="00EC428E" w:rsidRDefault="00EC428E" w:rsidP="0000013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Uveďte, na základe akých kritérií bol partner vybraný, alebo ak boli zverejnené, uveďte odkaz na internetovú stránku, kde sú dostupné.</w:t>
      </w:r>
      <w:r w:rsidRPr="0078438D">
        <w:t xml:space="preserve"> Ako kritérium pre výber - určenie partnera môže byť tiež uvedená predchádzajúca spolupráca </w:t>
      </w:r>
      <w:r>
        <w:t xml:space="preserve">žiadateľa </w:t>
      </w:r>
      <w:r w:rsidRPr="0078438D">
        <w:t xml:space="preserve"> s partnerom, ktorá bude náležite opísaná a odôvodnená, avšak nejde o spoluprácu, ktorá by v prípade verejných prostriedkov spadala pod pôsobnosť zákona o</w:t>
      </w:r>
      <w:r>
        <w:t> </w:t>
      </w:r>
      <w:r w:rsidRPr="0078438D">
        <w:t>VO</w:t>
      </w:r>
      <w:r>
        <w:t>.</w:t>
      </w:r>
    </w:p>
  </w:footnote>
  <w:footnote w:id="5">
    <w:p w:rsidR="00EC428E" w:rsidRDefault="00EC428E" w:rsidP="0000013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ak je to relevantné, uveďte aj ukončené národné projekty z programového obdobia 2007-2013.</w:t>
      </w:r>
    </w:p>
  </w:footnote>
  <w:footnote w:id="6">
    <w:p w:rsidR="00EC428E" w:rsidRDefault="00EC428E" w:rsidP="0000013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39E5">
        <w:t>V odôvodnených prípadoch sa uvedená tabuľka nevypĺňa, pričom je nevyhnutné do tejto časti uviesť podrobné a jasné zdôvodnenie, prečo nie j</w:t>
      </w:r>
      <w:r>
        <w:t xml:space="preserve">e možné uviesť požadované údaje. </w:t>
      </w:r>
    </w:p>
  </w:footnote>
  <w:footnote w:id="7">
    <w:p w:rsidR="00EC428E" w:rsidRDefault="00EC428E" w:rsidP="0000013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Národný projekt by mal obsahovať minimálne jeden relevantný projektový ukazovateľ, ktorý sa agreguje </w:t>
      </w:r>
      <w:r>
        <w:br/>
        <w:t>do programového ukazovateľa. Pri ostatných projektových ukazovateľoch sa uvedie N/A.</w:t>
      </w:r>
    </w:p>
  </w:footnote>
  <w:footnote w:id="8">
    <w:p w:rsidR="00EC428E" w:rsidRDefault="00EC428E" w:rsidP="0000013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739E5">
        <w:t>V odôvodnených prípadoch sa uvedená tabuľka nevypĺňa, pričom je nevyhnutné do tejto časti uviesť podrobné a jasné zdôvodnenie, prečo nie j</w:t>
      </w:r>
      <w:r>
        <w:t>e možné uviesť požadované údaje.</w:t>
      </w:r>
    </w:p>
  </w:footnote>
  <w:footnote w:id="9">
    <w:p w:rsidR="00EC428E" w:rsidRDefault="00EC428E" w:rsidP="0000013D">
      <w:r w:rsidRPr="00313961">
        <w:rPr>
          <w:rStyle w:val="Odkaznapoznmkupodiarou"/>
          <w:sz w:val="20"/>
          <w:szCs w:val="20"/>
        </w:rPr>
        <w:footnoteRef/>
      </w:r>
      <w:r>
        <w:t xml:space="preserve"> </w:t>
      </w:r>
      <w:r w:rsidRPr="00313961">
        <w:rPr>
          <w:sz w:val="20"/>
          <w:szCs w:val="20"/>
        </w:rPr>
        <w:t xml:space="preserve">V prípade viacerých merateľných ukazovateľov, </w:t>
      </w:r>
      <w:r>
        <w:rPr>
          <w:sz w:val="20"/>
          <w:szCs w:val="20"/>
        </w:rPr>
        <w:t>d</w:t>
      </w:r>
      <w:r w:rsidRPr="00313961">
        <w:rPr>
          <w:sz w:val="20"/>
          <w:szCs w:val="20"/>
        </w:rPr>
        <w:t>opl</w:t>
      </w:r>
      <w:r>
        <w:rPr>
          <w:sz w:val="20"/>
          <w:szCs w:val="20"/>
        </w:rPr>
        <w:t>ňte</w:t>
      </w:r>
      <w:r w:rsidRPr="00313961">
        <w:rPr>
          <w:sz w:val="20"/>
          <w:szCs w:val="20"/>
        </w:rPr>
        <w:t xml:space="preserve"> tabuľku za každý merateľný ukazovateľ.</w:t>
      </w:r>
    </w:p>
  </w:footnote>
  <w:footnote w:id="10">
    <w:p w:rsidR="00EC428E" w:rsidRDefault="00EC428E" w:rsidP="0000013D">
      <w:r w:rsidRPr="00313961">
        <w:rPr>
          <w:rStyle w:val="Odkaznapoznmkupodiarou"/>
          <w:sz w:val="20"/>
          <w:szCs w:val="20"/>
        </w:rPr>
        <w:footnoteRef/>
      </w:r>
      <w:r>
        <w:t xml:space="preserve"> </w:t>
      </w:r>
      <w:r w:rsidRPr="00313961">
        <w:rPr>
          <w:sz w:val="20"/>
          <w:szCs w:val="20"/>
        </w:rPr>
        <w:t xml:space="preserve">V prípade viacerých merateľných ukazovateľov, </w:t>
      </w:r>
      <w:r>
        <w:rPr>
          <w:sz w:val="20"/>
          <w:szCs w:val="20"/>
        </w:rPr>
        <w:t>d</w:t>
      </w:r>
      <w:r w:rsidRPr="00313961">
        <w:rPr>
          <w:sz w:val="20"/>
          <w:szCs w:val="20"/>
        </w:rPr>
        <w:t>opl</w:t>
      </w:r>
      <w:r>
        <w:rPr>
          <w:sz w:val="20"/>
          <w:szCs w:val="20"/>
        </w:rPr>
        <w:t>ňte</w:t>
      </w:r>
      <w:r w:rsidRPr="00313961">
        <w:rPr>
          <w:sz w:val="20"/>
          <w:szCs w:val="20"/>
        </w:rPr>
        <w:t xml:space="preserve"> tabuľku za každý merateľný ukazovateľ.</w:t>
      </w:r>
    </w:p>
  </w:footnote>
  <w:footnote w:id="11">
    <w:p w:rsidR="00EC428E" w:rsidRDefault="00EC428E" w:rsidP="0000013D">
      <w:pPr>
        <w:pStyle w:val="Textpoznmkypodiarou"/>
      </w:pPr>
      <w:r>
        <w:rPr>
          <w:rStyle w:val="Odkaznapoznmkupodiarou"/>
        </w:rPr>
        <w:footnoteRef/>
      </w:r>
      <w:r>
        <w:t xml:space="preserve"> Ak nie je možné uviesť početnosť cieľovej skupiny, uveďte do tejto časti zdôvodnenie.</w:t>
      </w:r>
    </w:p>
  </w:footnote>
  <w:footnote w:id="12">
    <w:p w:rsidR="00EC428E" w:rsidRDefault="00EC428E" w:rsidP="0000013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DB46EC">
        <w:rPr>
          <w:iCs/>
          <w:color w:val="000000"/>
        </w:rPr>
        <w:t>Investičný projekt</w:t>
      </w:r>
      <w:r>
        <w:rPr>
          <w:i/>
          <w:iCs/>
          <w:color w:val="000000"/>
        </w:rPr>
        <w:t xml:space="preserve"> – </w:t>
      </w:r>
      <w:r>
        <w:rPr>
          <w:color w:val="000000"/>
        </w:rPr>
        <w:t xml:space="preserve">dlhodobá alokácia finančného aj nefinančného kapitálu na naplnenie investičného zámeru až do etapy, kedy projekt vstúpi do prevádzkovej etapy a prípadne začne generovať stabilné príjmy. Investičný projekt smeruje k: výstavbe stavby alebo jej technickému zhodnoteniu; nákupu pozemkov, budov, objektov alebo ich častí; nákupu strojov, prístrojov, tovarov a zariadení; obstaraniu nehmotného majetku vrátane softvéru. Zdroj: </w:t>
      </w:r>
      <w:r w:rsidRPr="00CF5336">
        <w:t>Uznesenie Vlády SR č. 300 z 21.6.2017 k návrhu Rámca na hodnotenie verejných investičných projektov v</w:t>
      </w:r>
      <w:r>
        <w:t> </w:t>
      </w:r>
      <w:r w:rsidRPr="00CF5336">
        <w:t>SR</w:t>
      </w:r>
      <w:r>
        <w:t>.</w:t>
      </w:r>
    </w:p>
  </w:footnote>
  <w:footnote w:id="13">
    <w:p w:rsidR="00EC428E" w:rsidRDefault="00EC428E" w:rsidP="0000013D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 Pozri aj </w:t>
      </w:r>
      <w:r w:rsidRPr="00D06BEC">
        <w:t>Uznesen</w:t>
      </w:r>
      <w:r>
        <w:t>ie</w:t>
      </w:r>
      <w:r w:rsidRPr="00D06BEC">
        <w:t xml:space="preserve"> Vlády SR č. 300 z 21.6.2017 k návrhu k návrhu Rámca na hodnotenie verejných investičných projektov v</w:t>
      </w:r>
      <w:r>
        <w:t> </w:t>
      </w:r>
      <w:r w:rsidRPr="00D06BEC">
        <w:t>SR</w:t>
      </w:r>
      <w:r>
        <w:t xml:space="preserve"> (dostupné na:</w:t>
      </w:r>
    </w:p>
    <w:p w:rsidR="00EC428E" w:rsidRDefault="0030688D" w:rsidP="0000013D">
      <w:pPr>
        <w:pStyle w:val="Textpoznmkypodiarou"/>
        <w:jc w:val="both"/>
      </w:pPr>
      <w:hyperlink r:id="rId1" w:history="1">
        <w:r w:rsidR="00EC428E" w:rsidRPr="00F2730A">
          <w:rPr>
            <w:rStyle w:val="Hypertextovprepojenie"/>
          </w:rPr>
          <w:t>http://www.rokovania.sk/Rokovanie.aspx/BodRokovaniaDetail?idMaterial=26598</w:t>
        </w:r>
      </w:hyperlink>
      <w:r w:rsidR="00EC428E">
        <w:t xml:space="preserve"> 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8E" w:rsidRPr="00627EA3" w:rsidRDefault="00EC428E" w:rsidP="00EC428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FC5"/>
    <w:multiLevelType w:val="hybridMultilevel"/>
    <w:tmpl w:val="C728CD6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C45D0"/>
    <w:multiLevelType w:val="hybridMultilevel"/>
    <w:tmpl w:val="BF34D2A4"/>
    <w:lvl w:ilvl="0" w:tplc="0C6AA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7333B"/>
    <w:multiLevelType w:val="hybridMultilevel"/>
    <w:tmpl w:val="B468A6E4"/>
    <w:lvl w:ilvl="0" w:tplc="574C8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27A23"/>
    <w:multiLevelType w:val="hybridMultilevel"/>
    <w:tmpl w:val="3B3019CC"/>
    <w:lvl w:ilvl="0" w:tplc="0BE010D8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10"/>
    <w:rsid w:val="0000013D"/>
    <w:rsid w:val="0005567D"/>
    <w:rsid w:val="00056590"/>
    <w:rsid w:val="00056C49"/>
    <w:rsid w:val="000B0A66"/>
    <w:rsid w:val="001012C6"/>
    <w:rsid w:val="00107D87"/>
    <w:rsid w:val="00126959"/>
    <w:rsid w:val="00133977"/>
    <w:rsid w:val="00157C28"/>
    <w:rsid w:val="00165FBD"/>
    <w:rsid w:val="00182E9F"/>
    <w:rsid w:val="001869CF"/>
    <w:rsid w:val="00190675"/>
    <w:rsid w:val="00196EE4"/>
    <w:rsid w:val="001A3072"/>
    <w:rsid w:val="001B4FB0"/>
    <w:rsid w:val="002202DF"/>
    <w:rsid w:val="002518D0"/>
    <w:rsid w:val="002623CC"/>
    <w:rsid w:val="00277E1E"/>
    <w:rsid w:val="00280F62"/>
    <w:rsid w:val="002B2BEA"/>
    <w:rsid w:val="002E2D9F"/>
    <w:rsid w:val="002F7CE1"/>
    <w:rsid w:val="00301143"/>
    <w:rsid w:val="0030688D"/>
    <w:rsid w:val="003214E6"/>
    <w:rsid w:val="003227E3"/>
    <w:rsid w:val="00323CC0"/>
    <w:rsid w:val="00326DEF"/>
    <w:rsid w:val="003B039F"/>
    <w:rsid w:val="003C049B"/>
    <w:rsid w:val="003E0F13"/>
    <w:rsid w:val="003E2B8B"/>
    <w:rsid w:val="004041B6"/>
    <w:rsid w:val="00434B7B"/>
    <w:rsid w:val="004513E4"/>
    <w:rsid w:val="00471B09"/>
    <w:rsid w:val="004E297B"/>
    <w:rsid w:val="004E3C76"/>
    <w:rsid w:val="005161B8"/>
    <w:rsid w:val="00572F62"/>
    <w:rsid w:val="005B4F93"/>
    <w:rsid w:val="005E181C"/>
    <w:rsid w:val="005F3B7C"/>
    <w:rsid w:val="006059FC"/>
    <w:rsid w:val="00656E26"/>
    <w:rsid w:val="00677545"/>
    <w:rsid w:val="00680878"/>
    <w:rsid w:val="00690A44"/>
    <w:rsid w:val="006941E5"/>
    <w:rsid w:val="006A1980"/>
    <w:rsid w:val="006A53C2"/>
    <w:rsid w:val="006C3427"/>
    <w:rsid w:val="006C3EA1"/>
    <w:rsid w:val="006D1D33"/>
    <w:rsid w:val="006D7193"/>
    <w:rsid w:val="006E10A1"/>
    <w:rsid w:val="006F1A87"/>
    <w:rsid w:val="007021FC"/>
    <w:rsid w:val="00715229"/>
    <w:rsid w:val="00715597"/>
    <w:rsid w:val="00724D84"/>
    <w:rsid w:val="00731847"/>
    <w:rsid w:val="00743FB1"/>
    <w:rsid w:val="00780EF6"/>
    <w:rsid w:val="007817CC"/>
    <w:rsid w:val="00784414"/>
    <w:rsid w:val="007A03CD"/>
    <w:rsid w:val="007B2825"/>
    <w:rsid w:val="007B49DF"/>
    <w:rsid w:val="007D6754"/>
    <w:rsid w:val="00807FD0"/>
    <w:rsid w:val="00822510"/>
    <w:rsid w:val="00833160"/>
    <w:rsid w:val="0083514D"/>
    <w:rsid w:val="00841A31"/>
    <w:rsid w:val="00853BB8"/>
    <w:rsid w:val="00857372"/>
    <w:rsid w:val="0085748A"/>
    <w:rsid w:val="0089049D"/>
    <w:rsid w:val="008D4BAD"/>
    <w:rsid w:val="008E1EA5"/>
    <w:rsid w:val="00906493"/>
    <w:rsid w:val="0091026C"/>
    <w:rsid w:val="009432E6"/>
    <w:rsid w:val="00970DB1"/>
    <w:rsid w:val="0099143D"/>
    <w:rsid w:val="009F5D04"/>
    <w:rsid w:val="00A32286"/>
    <w:rsid w:val="00A611BD"/>
    <w:rsid w:val="00A74C7C"/>
    <w:rsid w:val="00A875AD"/>
    <w:rsid w:val="00AB0E66"/>
    <w:rsid w:val="00AC2092"/>
    <w:rsid w:val="00AC40CB"/>
    <w:rsid w:val="00AC59EF"/>
    <w:rsid w:val="00AD75A3"/>
    <w:rsid w:val="00AF3D33"/>
    <w:rsid w:val="00B219EF"/>
    <w:rsid w:val="00B30B0A"/>
    <w:rsid w:val="00B46145"/>
    <w:rsid w:val="00B4794D"/>
    <w:rsid w:val="00B57BD3"/>
    <w:rsid w:val="00B64338"/>
    <w:rsid w:val="00B72A05"/>
    <w:rsid w:val="00B80A83"/>
    <w:rsid w:val="00B903D4"/>
    <w:rsid w:val="00BA419E"/>
    <w:rsid w:val="00BB4924"/>
    <w:rsid w:val="00BD0096"/>
    <w:rsid w:val="00BD3472"/>
    <w:rsid w:val="00BD7C57"/>
    <w:rsid w:val="00BE4869"/>
    <w:rsid w:val="00BE512E"/>
    <w:rsid w:val="00BF2618"/>
    <w:rsid w:val="00C07106"/>
    <w:rsid w:val="00C17F12"/>
    <w:rsid w:val="00C22771"/>
    <w:rsid w:val="00C322A9"/>
    <w:rsid w:val="00C32540"/>
    <w:rsid w:val="00C56921"/>
    <w:rsid w:val="00C67446"/>
    <w:rsid w:val="00C77EB8"/>
    <w:rsid w:val="00C8156E"/>
    <w:rsid w:val="00C838E9"/>
    <w:rsid w:val="00C904E4"/>
    <w:rsid w:val="00CC4276"/>
    <w:rsid w:val="00CE2166"/>
    <w:rsid w:val="00D17E0C"/>
    <w:rsid w:val="00D20311"/>
    <w:rsid w:val="00D20DAF"/>
    <w:rsid w:val="00D52223"/>
    <w:rsid w:val="00D61079"/>
    <w:rsid w:val="00D67790"/>
    <w:rsid w:val="00D7448A"/>
    <w:rsid w:val="00D83C60"/>
    <w:rsid w:val="00D97033"/>
    <w:rsid w:val="00DA3ACD"/>
    <w:rsid w:val="00DA63BC"/>
    <w:rsid w:val="00DE6610"/>
    <w:rsid w:val="00E10FB9"/>
    <w:rsid w:val="00E31AD1"/>
    <w:rsid w:val="00E56B12"/>
    <w:rsid w:val="00E61F76"/>
    <w:rsid w:val="00E9480F"/>
    <w:rsid w:val="00EA3340"/>
    <w:rsid w:val="00EC015C"/>
    <w:rsid w:val="00EC428E"/>
    <w:rsid w:val="00EC763A"/>
    <w:rsid w:val="00EF6538"/>
    <w:rsid w:val="00F04DE9"/>
    <w:rsid w:val="00F05E8D"/>
    <w:rsid w:val="00F061B2"/>
    <w:rsid w:val="00F12D3C"/>
    <w:rsid w:val="00F50813"/>
    <w:rsid w:val="00F57723"/>
    <w:rsid w:val="00F923B3"/>
    <w:rsid w:val="00F935CB"/>
    <w:rsid w:val="00FA1C32"/>
    <w:rsid w:val="00FA24D1"/>
    <w:rsid w:val="00FA4424"/>
    <w:rsid w:val="00FB3D71"/>
    <w:rsid w:val="00FD4979"/>
    <w:rsid w:val="00F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4980E-EBE3-44D2-9F35-8DDB9D24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0013D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001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0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013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"/>
    <w:basedOn w:val="Normlny"/>
    <w:link w:val="OdsekzoznamuChar"/>
    <w:uiPriority w:val="34"/>
    <w:qFormat/>
    <w:rsid w:val="000001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001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0013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001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00013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0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013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00013D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00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Odsekzoznamu"/>
    <w:link w:val="BulletChar"/>
    <w:qFormat/>
    <w:rsid w:val="0000013D"/>
    <w:pPr>
      <w:numPr>
        <w:numId w:val="1"/>
      </w:numPr>
      <w:tabs>
        <w:tab w:val="num" w:pos="360"/>
      </w:tabs>
      <w:spacing w:before="60" w:after="120"/>
      <w:ind w:firstLine="0"/>
      <w:contextualSpacing w:val="0"/>
      <w:jc w:val="both"/>
    </w:pPr>
    <w:rPr>
      <w:rFonts w:ascii="Verdana" w:hAnsi="Verdana"/>
      <w:sz w:val="20"/>
      <w:szCs w:val="36"/>
      <w:lang w:eastAsia="en-US"/>
    </w:rPr>
  </w:style>
  <w:style w:type="character" w:customStyle="1" w:styleId="BulletChar">
    <w:name w:val="Bullet Char"/>
    <w:basedOn w:val="Predvolenpsmoodseku"/>
    <w:link w:val="Bullet"/>
    <w:rsid w:val="0000013D"/>
    <w:rPr>
      <w:rFonts w:ascii="Verdana" w:eastAsia="Times New Roman" w:hAnsi="Verdana" w:cs="Times New Roman"/>
      <w:sz w:val="20"/>
      <w:szCs w:val="36"/>
    </w:rPr>
  </w:style>
  <w:style w:type="paragraph" w:customStyle="1" w:styleId="Bullet2">
    <w:name w:val="Bullet 2"/>
    <w:basedOn w:val="Bullet"/>
    <w:qFormat/>
    <w:rsid w:val="0000013D"/>
    <w:pPr>
      <w:numPr>
        <w:ilvl w:val="1"/>
      </w:numPr>
      <w:tabs>
        <w:tab w:val="num" w:pos="360"/>
      </w:tabs>
      <w:ind w:left="1134" w:hanging="567"/>
    </w:p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link w:val="Odsekzoznamu"/>
    <w:uiPriority w:val="34"/>
    <w:qFormat/>
    <w:locked/>
    <w:rsid w:val="0000013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0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13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23B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23B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kovania.sk/Rokovanie.aspx/BodRokovaniaDetail?idMaterial=26598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D296-22DD-467C-833E-CE46AD78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4692</Words>
  <Characters>26748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MIRRI</Company>
  <LinksUpToDate>false</LinksUpToDate>
  <CharactersWithSpaces>31378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Bartalos, Arpád</dc:creator>
  <cp:keywords/>
  <dc:description/>
  <cp:lastModifiedBy>Malec Peter</cp:lastModifiedBy>
  <cp:revision>2</cp:revision>
  <cp:lastPrinted>2023-01-18T11:44:00Z</cp:lastPrinted>
  <dcterms:created xsi:type="dcterms:W3CDTF">2023-03-24T09:04:00Z</dcterms:created>
  <dcterms:modified xsi:type="dcterms:W3CDTF">2023-03-24T09:04:00Z</dcterms:modified>
</cp:coreProperties>
</file>