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F4A72">
            <w:rPr>
              <w:b/>
              <w:sz w:val="40"/>
              <w:szCs w:val="20"/>
            </w:rPr>
            <w:t>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8601C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F4A7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 číselníku oprávnených výdavkov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E745C0" w:rsidRPr="009836CF" w:rsidRDefault="00E745C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A665B" w:rsidRPr="000D77A6" w:rsidRDefault="006A665B" w:rsidP="006A665B">
            <w:pPr>
              <w:jc w:val="both"/>
            </w:pPr>
            <w:r w:rsidRPr="000D77A6">
              <w:t xml:space="preserve">Úrad </w:t>
            </w:r>
            <w:r>
              <w:t xml:space="preserve">podpredsedu </w:t>
            </w:r>
            <w:r w:rsidRPr="000D77A6">
              <w:t>vlády SR</w:t>
            </w:r>
            <w:r>
              <w:t xml:space="preserve"> pre investície a informatizáciu</w:t>
            </w:r>
          </w:p>
          <w:p w:rsidR="00B53B4A" w:rsidRPr="009836CF" w:rsidRDefault="006A665B" w:rsidP="006A665B">
            <w:pPr>
              <w:jc w:val="both"/>
              <w:rPr>
                <w:szCs w:val="20"/>
              </w:rPr>
            </w:pPr>
            <w:r w:rsidRPr="000D77A6">
              <w:t>v súlade s kapitolou 1.2, ods. 3, písm. b) Systému riadenia európskych štrukturálnych a investičných 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45C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1B4440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4F4A72">
                  <w:t>2</w:t>
                </w:r>
              </w:sdtContent>
            </w:sdt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6-08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A126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24.08.2016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8-24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0A126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24.08.2016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6A665B" w:rsidRDefault="006A665B" w:rsidP="006A665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Mgr. Patrik </w:t>
            </w:r>
            <w:proofErr w:type="spellStart"/>
            <w:r>
              <w:rPr>
                <w:szCs w:val="20"/>
              </w:rPr>
              <w:t>Krauspe</w:t>
            </w:r>
            <w:proofErr w:type="spellEnd"/>
          </w:p>
          <w:p w:rsidR="00C214B6" w:rsidRPr="009836CF" w:rsidRDefault="006A665B" w:rsidP="006A665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podpredsedu vlády SR pre investície a informatizáciu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AD5941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06155866" w:history="1">
            <w:r w:rsidR="00AD5941" w:rsidRPr="00947167">
              <w:rPr>
                <w:rStyle w:val="Hypertextovprepojenie"/>
                <w:noProof/>
              </w:rPr>
              <w:t>1 Úvod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_Toc406155866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1B444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7" w:history="1">
            <w:r w:rsidR="00AD5941" w:rsidRPr="00947167">
              <w:rPr>
                <w:rStyle w:val="Hypertextovprepojenie"/>
                <w:noProof/>
              </w:rPr>
              <w:t>2 Používanie číselníka výdavkov riadiacimi orgánmi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_Toc406155867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1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1B444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8" w:history="1">
            <w:r w:rsidR="00AD5941" w:rsidRPr="00947167">
              <w:rPr>
                <w:rStyle w:val="Hypertextovprepojenie"/>
                <w:noProof/>
              </w:rPr>
              <w:t>3 Záverečné a prechodné ustanovenia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_Toc406155868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AD5941" w:rsidRDefault="001B444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6155869" w:history="1">
            <w:r w:rsidR="00AD5941" w:rsidRPr="00947167">
              <w:rPr>
                <w:rStyle w:val="Hypertextovprepojenie"/>
                <w:noProof/>
              </w:rPr>
              <w:t>Zoznam príloh</w:t>
            </w:r>
            <w:r w:rsidR="00AD5941">
              <w:rPr>
                <w:noProof/>
                <w:webHidden/>
              </w:rPr>
              <w:tab/>
            </w:r>
            <w:r w:rsidR="00AD5941">
              <w:rPr>
                <w:noProof/>
                <w:webHidden/>
              </w:rPr>
              <w:fldChar w:fldCharType="begin"/>
            </w:r>
            <w:r w:rsidR="00AD5941">
              <w:rPr>
                <w:noProof/>
                <w:webHidden/>
              </w:rPr>
              <w:instrText xml:space="preserve"> PAGEREF _Toc406155869 \h </w:instrText>
            </w:r>
            <w:r w:rsidR="00AD5941">
              <w:rPr>
                <w:noProof/>
                <w:webHidden/>
              </w:rPr>
            </w:r>
            <w:r w:rsidR="00AD5941">
              <w:rPr>
                <w:noProof/>
                <w:webHidden/>
              </w:rPr>
              <w:fldChar w:fldCharType="separate"/>
            </w:r>
            <w:r w:rsidR="00AD5941">
              <w:rPr>
                <w:noProof/>
                <w:webHidden/>
              </w:rPr>
              <w:t>3</w:t>
            </w:r>
            <w:r w:rsidR="00AD5941">
              <w:rPr>
                <w:noProof/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3" w:name="_Toc406155866"/>
      <w:r>
        <w:t>1 Úvod</w:t>
      </w:r>
      <w:bookmarkEnd w:id="2"/>
      <w:bookmarkEnd w:id="1"/>
      <w:bookmarkEnd w:id="3"/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Tento metodický pokyn definuje základné pravidlá, ktorými sa riadiace orgány riadia pri používaní číselníka oprávnených výdavkov na programové obdobie 2014 – 2020 </w:t>
      </w:r>
      <w:r w:rsidR="004F4A72">
        <w:t xml:space="preserve">               </w:t>
      </w:r>
      <w:r w:rsidRPr="00A91931">
        <w:t>a upresňuje vymedzenie jednotlivých skupín výdavkov.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>Vecné vymedzenie výdavkov vrátane ich špecifikácií vychádza z opatrení Ministerstva financií SR, ktorými sa ustanovujú podrobnosti o postupoch účtovania.</w:t>
      </w:r>
    </w:p>
    <w:p w:rsidR="00A91931" w:rsidRPr="00A91931" w:rsidRDefault="00A91931" w:rsidP="00895CF5">
      <w:pPr>
        <w:pStyle w:val="Odsekzoznamu"/>
        <w:numPr>
          <w:ilvl w:val="0"/>
          <w:numId w:val="6"/>
        </w:numPr>
        <w:spacing w:after="120"/>
        <w:ind w:left="425" w:hanging="425"/>
        <w:contextualSpacing w:val="0"/>
        <w:jc w:val="both"/>
      </w:pPr>
      <w:r w:rsidRPr="00A91931">
        <w:t xml:space="preserve">Vzhľadom na špecifiká v jednotlivých opatreniach určených pre dané účtovné jednotky sú pre účely číselníka oprávnených výdavkov vytvorené osobitné triedy, resp. skupiny oprávnených výdavkov tak, aby číselník bol dostatočne flexibilný pre jednotlivé </w:t>
      </w:r>
      <w:r w:rsidR="00895CF5">
        <w:t>riadiace orgány (ďalej len „RO“)</w:t>
      </w:r>
      <w:r w:rsidRPr="00A91931">
        <w:t>.</w:t>
      </w:r>
    </w:p>
    <w:p w:rsidR="00A91931" w:rsidRDefault="00A91931" w:rsidP="00895CF5">
      <w:pPr>
        <w:pStyle w:val="SRKNorm"/>
        <w:numPr>
          <w:ilvl w:val="0"/>
          <w:numId w:val="6"/>
        </w:numPr>
        <w:spacing w:before="0" w:after="120"/>
        <w:ind w:left="425" w:hanging="425"/>
        <w:contextualSpacing w:val="0"/>
      </w:pPr>
      <w:r w:rsidRPr="00A91931">
        <w:t xml:space="preserve">Číselník oprávnených výdavkov je súčasťou ITMS 2014+, ktorý v zmysle § 6 zákona </w:t>
      </w:r>
      <w:r w:rsidR="00895CF5">
        <w:t xml:space="preserve">      </w:t>
      </w:r>
      <w:r w:rsidRPr="00A91931">
        <w:t>č. 275/2006 Z. z. o informačných systémoch verejnej správy a o zmene a doplnení niektorých zákonov spravuje Centrálny koordinačný orgán</w:t>
      </w:r>
      <w:r w:rsidR="00895CF5">
        <w:t xml:space="preserve"> (ďalej len „CKO“)</w:t>
      </w:r>
      <w:r w:rsidRPr="00A91931">
        <w:t>.</w:t>
      </w:r>
      <w:r w:rsidR="00895CF5">
        <w:t xml:space="preserve"> </w:t>
      </w:r>
    </w:p>
    <w:p w:rsidR="00850467" w:rsidRPr="007A0A10" w:rsidRDefault="00850467" w:rsidP="00850467">
      <w:pPr>
        <w:pStyle w:val="MPCKO1"/>
      </w:pPr>
      <w:bookmarkStart w:id="4" w:name="_Toc404872046"/>
      <w:bookmarkStart w:id="5" w:name="_Toc404872121"/>
      <w:bookmarkStart w:id="6" w:name="_Toc406155867"/>
      <w:r>
        <w:t xml:space="preserve">2 </w:t>
      </w:r>
      <w:bookmarkEnd w:id="4"/>
      <w:bookmarkEnd w:id="5"/>
      <w:r w:rsidR="00895CF5" w:rsidRPr="00895CF5">
        <w:t>Používanie číselníka výdavkov riadiacimi orgánmi</w:t>
      </w:r>
      <w:bookmarkEnd w:id="6"/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  <w:rPr>
          <w:caps/>
        </w:rPr>
      </w:pPr>
      <w:r w:rsidRPr="00895CF5">
        <w:t>Skupiny oprávnených výdavkov uvedené v číselníku oprávnených výdavkov</w:t>
      </w:r>
      <w:r w:rsidR="00280A9B">
        <w:t xml:space="preserve"> (príloha       č. 1)</w:t>
      </w:r>
      <w:r w:rsidRPr="00895CF5">
        <w:t xml:space="preserve"> slúžia na základné rozdelenie výdavkov projektu podľa ich charakteru a vzniku </w:t>
      </w:r>
      <w:r w:rsidR="004F4A72">
        <w:t xml:space="preserve">            </w:t>
      </w:r>
      <w:r w:rsidRPr="00895CF5">
        <w:t xml:space="preserve">v rámci realizácie aktivít projektu. Skupiny oprávnených výdavkov sú vstupom </w:t>
      </w:r>
      <w:r w:rsidR="004F4A72">
        <w:t xml:space="preserve">            </w:t>
      </w:r>
      <w:r w:rsidRPr="00895CF5">
        <w:t xml:space="preserve">pre hodnotenie hospodárnosti (minimalizovanie nákladov na vykonanie činnosti alebo obstaranie tovarov, prác a služieb pri zachovaní ich primeranej úrovne a kvality), efektívnosti použitia verejných prostriedkov (maximalizovanie výsledkov činnosti </w:t>
      </w:r>
      <w:r w:rsidR="004F4A72">
        <w:t xml:space="preserve">               </w:t>
      </w:r>
      <w:r w:rsidRPr="00895CF5">
        <w:t>vo vzťahu  k disponibilným verejným prostriedkom) ako aj účelnosti a účinnosti.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 xml:space="preserve">Skupiny oprávnených výdavkov sú používané najmä žiadateľom pri vypracovaní žiadosti o NFP, </w:t>
      </w:r>
      <w:r>
        <w:t>RO</w:t>
      </w:r>
      <w:r w:rsidRPr="00895CF5">
        <w:t xml:space="preserve">, prijímateľom pri príprave žiadostí o platbu, </w:t>
      </w:r>
      <w:r>
        <w:t>RO</w:t>
      </w:r>
      <w:r w:rsidRPr="00895CF5">
        <w:t xml:space="preserve"> pri hodnotení žiadostí o NFP, príprave zmluvy o NFP, administratívnej</w:t>
      </w:r>
      <w:r w:rsidR="00031D40">
        <w:t xml:space="preserve"> finančnej</w:t>
      </w:r>
      <w:r w:rsidRPr="00895CF5">
        <w:t xml:space="preserve"> kontrole žiadostí o platbu.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>
        <w:t>RO</w:t>
      </w:r>
      <w:r w:rsidRPr="00895CF5">
        <w:t xml:space="preserve"> zodpovedá za definovanie oprávnených a neoprávnených výdavkov na jednotlivých úrovniach programovej štruktúry. </w:t>
      </w:r>
      <w:r>
        <w:t>RO</w:t>
      </w:r>
      <w:r w:rsidRPr="00895CF5">
        <w:t xml:space="preserve"> v prípade oprávnených výdavkov zodpovedá súčasne za presné vecné, časové a priestorové (kde relevantné) vymedzenie výdavkov </w:t>
      </w:r>
      <w:r w:rsidR="004F4A72">
        <w:t xml:space="preserve">       </w:t>
      </w:r>
      <w:r w:rsidRPr="00895CF5">
        <w:t xml:space="preserve">a za poskytnutie dostatočných informácií potrebných pre správne zaradenie výdavku </w:t>
      </w:r>
      <w:r w:rsidR="004F4A72">
        <w:t xml:space="preserve">           </w:t>
      </w:r>
      <w:r w:rsidRPr="00895CF5">
        <w:t>do príslušnej skupiny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t>RO</w:t>
      </w:r>
      <w:r w:rsidRPr="00895CF5">
        <w:t xml:space="preserve"> poskytne žiadateľovi informácie v takom rozsahu, aby umožnili žiadateľovi zostaviť rozpočet projektu pri zohľadnení špecifík </w:t>
      </w:r>
      <w:r>
        <w:t>operačného programu</w:t>
      </w:r>
      <w:r w:rsidRPr="00895CF5">
        <w:t xml:space="preserve"> (napr. výdavky </w:t>
      </w:r>
      <w:r w:rsidR="004F4A72">
        <w:t xml:space="preserve">                    </w:t>
      </w:r>
      <w:r w:rsidRPr="00895CF5">
        <w:t>na hlavné/podporné aktivity projektu, výdavky na nákup dlhodobého hmotného/nehmotného majetku).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  <w:jc w:val="both"/>
      </w:pPr>
      <w:r>
        <w:lastRenderedPageBreak/>
        <w:t>RO</w:t>
      </w:r>
      <w:r w:rsidRPr="00895CF5">
        <w:t xml:space="preserve"> zodpovedá pri uzatváraní zmluvy o poskytnutí NFP za to, že každý výdavok plánovaný v danom projekte je jednoznačne a správne zaradený do príslušnej skupiny oprávnených výdavkov.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Členenie číselníka oprávnených výdavkov je nasledovné: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contextualSpacing w:val="0"/>
      </w:pPr>
      <w:r>
        <w:t>t</w:t>
      </w:r>
      <w:r w:rsidRPr="00895CF5">
        <w:t>rieda – vecné vymedzenie výdavku;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ind w:left="851" w:hanging="425"/>
        <w:jc w:val="both"/>
      </w:pPr>
      <w:r>
        <w:t>s</w:t>
      </w:r>
      <w:r w:rsidRPr="00895CF5">
        <w:t>kupina – špecifikácia výdavku v rámci danej triedy;</w:t>
      </w:r>
    </w:p>
    <w:p w:rsidR="00895CF5" w:rsidRPr="00895CF5" w:rsidRDefault="00895CF5" w:rsidP="00773DDD">
      <w:pPr>
        <w:pStyle w:val="Odsekzoznamu"/>
        <w:numPr>
          <w:ilvl w:val="0"/>
          <w:numId w:val="30"/>
        </w:numPr>
        <w:spacing w:after="120"/>
        <w:ind w:left="851" w:hanging="425"/>
        <w:contextualSpacing w:val="0"/>
        <w:jc w:val="both"/>
      </w:pPr>
      <w:r>
        <w:t>d</w:t>
      </w:r>
      <w:r w:rsidRPr="00895CF5">
        <w:t xml:space="preserve">ruh – ide o definovanie výdavku na úrovni riadiaceho orgánu (ak relevantné), </w:t>
      </w:r>
      <w:r w:rsidR="004F4A72">
        <w:t xml:space="preserve"> </w:t>
      </w:r>
      <w:r w:rsidRPr="00895CF5">
        <w:t xml:space="preserve">pričom druh oprávneného výdavku je kategorizovaný v rámci triedy a skupiny oprávnených výdavkov. V rámci druhu oprávnených výdavkov </w:t>
      </w:r>
      <w:r>
        <w:t>RO</w:t>
      </w:r>
      <w:r w:rsidRPr="00895CF5">
        <w:t xml:space="preserve"> zodpovedá </w:t>
      </w:r>
      <w:r w:rsidR="004F4A72">
        <w:t xml:space="preserve">               </w:t>
      </w:r>
      <w:r w:rsidRPr="00895CF5">
        <w:t>za správne definovanie jednotlivých druhov oprávnených výdavkov, ktoré spĺňajú vecné vymedzenie ako aj špecifikáciu oprávneného výdavku. Druh výdavku neobsahuje kód.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6" w:hanging="426"/>
        <w:contextualSpacing w:val="0"/>
      </w:pPr>
      <w:r w:rsidRPr="00895CF5">
        <w:t>Štruktúra číselníka oprávnených výdavkov je nasledovná:</w: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50CAAA" wp14:editId="3C7BAFE8">
                <wp:simplePos x="0" y="0"/>
                <wp:positionH relativeFrom="column">
                  <wp:posOffset>1214755</wp:posOffset>
                </wp:positionH>
                <wp:positionV relativeFrom="paragraph">
                  <wp:posOffset>106680</wp:posOffset>
                </wp:positionV>
                <wp:extent cx="3571240" cy="904875"/>
                <wp:effectExtent l="0" t="0" r="0" b="9525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CF5" w:rsidRDefault="00895CF5" w:rsidP="00895CF5">
                            <w:r>
                              <w:t>0 1 3 – Softvér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</w:t>
                            </w:r>
                          </w:p>
                          <w:p w:rsidR="00895CF5" w:rsidRDefault="00895CF5" w:rsidP="00895CF5">
                            <w:r>
                              <w:t xml:space="preserve">                      Tretie číslo v poradí označuje skupinu                </w:t>
                            </w:r>
                          </w:p>
                          <w:p w:rsidR="00895CF5" w:rsidRDefault="00895CF5" w:rsidP="00895CF5">
                            <w:r>
                              <w:t>Prvé 2 čísla označujú triedu</w:t>
                            </w:r>
                          </w:p>
                          <w:p w:rsidR="00895CF5" w:rsidRDefault="00895CF5" w:rsidP="00895CF5"/>
                          <w:p w:rsidR="00895CF5" w:rsidRPr="00ED3184" w:rsidRDefault="00895CF5" w:rsidP="00895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95.65pt;margin-top:8.4pt;width:281.2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" fillcolor="white [3201]" stroked="f" strokeweight="2pt">
                <v:textbox>
                  <w:txbxContent>
                    <w:p w:rsidR="00895CF5" w:rsidRDefault="00895CF5" w:rsidP="00895CF5">
                      <w:r>
                        <w:t>0 1 3 – Softvér</w:t>
                      </w:r>
                    </w:p>
                    <w:p w:rsidR="00895CF5" w:rsidRDefault="00895CF5" w:rsidP="00895CF5">
                      <w:r>
                        <w:t xml:space="preserve">                     </w:t>
                      </w:r>
                    </w:p>
                    <w:p w:rsidR="00895CF5" w:rsidRDefault="00895CF5" w:rsidP="00895CF5">
                      <w:r>
                        <w:t xml:space="preserve">                      Tretie číslo v poradí označuje skupinu                </w:t>
                      </w:r>
                    </w:p>
                    <w:p w:rsidR="00895CF5" w:rsidRDefault="00895CF5" w:rsidP="00895CF5">
                      <w:r>
                        <w:t>Prvé 2 čísla označujú triedu</w:t>
                      </w:r>
                    </w:p>
                    <w:p w:rsidR="00895CF5" w:rsidRDefault="00895CF5" w:rsidP="00895CF5"/>
                    <w:p w:rsidR="00895CF5" w:rsidRPr="00ED3184" w:rsidRDefault="00895CF5" w:rsidP="00895CF5"/>
                  </w:txbxContent>
                </v:textbox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182115" wp14:editId="68BA1F9B">
                <wp:simplePos x="0" y="0"/>
                <wp:positionH relativeFrom="column">
                  <wp:posOffset>1282688</wp:posOffset>
                </wp:positionH>
                <wp:positionV relativeFrom="paragraph">
                  <wp:posOffset>169737</wp:posOffset>
                </wp:positionV>
                <wp:extent cx="250166" cy="155275"/>
                <wp:effectExtent l="0" t="0" r="17145" b="1651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66" cy="15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ĺžnik 8" o:spid="_x0000_s1026" style="position:absolute;margin-left:101pt;margin-top:13.35pt;width:19.7pt;height:12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" filled="f" strokecolor="#243f60 [1604]" strokeweight="2pt"/>
            </w:pict>
          </mc:Fallback>
        </mc:AlternateContent>
      </w:r>
    </w:p>
    <w:p w:rsidR="00895CF5" w:rsidRPr="00895CF5" w:rsidRDefault="00895CF5" w:rsidP="00895CF5">
      <w:pPr>
        <w:ind w:left="426" w:hanging="426"/>
      </w:pP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5B7C9D" wp14:editId="1BC85DD1">
                <wp:simplePos x="0" y="0"/>
                <wp:positionH relativeFrom="column">
                  <wp:posOffset>1528445</wp:posOffset>
                </wp:positionH>
                <wp:positionV relativeFrom="paragraph">
                  <wp:posOffset>-5715</wp:posOffset>
                </wp:positionV>
                <wp:extent cx="120650" cy="154940"/>
                <wp:effectExtent l="0" t="0" r="12700" b="16510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549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9" o:spid="_x0000_s1026" style="position:absolute;margin-left:120.35pt;margin-top:-.45pt;width:9.5pt;height:1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" filled="f" strokecolor="#243f60 [1604]" strokeweight="2pt"/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3D90A" wp14:editId="246A44BA">
                <wp:simplePos x="0" y="0"/>
                <wp:positionH relativeFrom="column">
                  <wp:posOffset>1386205</wp:posOffset>
                </wp:positionH>
                <wp:positionV relativeFrom="paragraph">
                  <wp:posOffset>150495</wp:posOffset>
                </wp:positionV>
                <wp:extent cx="0" cy="342900"/>
                <wp:effectExtent l="76200" t="0" r="76200" b="57150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109.15pt;margin-top:11.85pt;width:0;height:2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" strokecolor="#4579b8 [3044]" strokeweight="1.5pt">
                <v:stroke startarrow="block"/>
              </v:shape>
            </w:pict>
          </mc:Fallback>
        </mc:AlternateContent>
      </w:r>
      <w:r w:rsidRPr="00895C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DB6339" wp14:editId="4A7A3868">
                <wp:simplePos x="0" y="0"/>
                <wp:positionH relativeFrom="column">
                  <wp:posOffset>1661795</wp:posOffset>
                </wp:positionH>
                <wp:positionV relativeFrom="paragraph">
                  <wp:posOffset>149225</wp:posOffset>
                </wp:positionV>
                <wp:extent cx="464185" cy="292100"/>
                <wp:effectExtent l="0" t="0" r="88265" b="508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2921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á spojovacia šípka 7" o:spid="_x0000_s1026" type="#_x0000_t32" style="position:absolute;margin-left:130.85pt;margin-top:11.75pt;width:36.5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" strokecolor="#4579b8 [3044]" strokeweight="1.5pt">
                <v:stroke endarrow="block"/>
              </v:shape>
            </w:pict>
          </mc:Fallback>
        </mc:AlternateContent>
      </w:r>
    </w:p>
    <w:p w:rsidR="00895CF5" w:rsidRPr="00895CF5" w:rsidRDefault="00895CF5" w:rsidP="00895CF5">
      <w:pPr>
        <w:ind w:left="426" w:hanging="426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895CF5">
      <w:pPr>
        <w:ind w:left="426" w:hanging="426"/>
        <w:jc w:val="both"/>
      </w:pP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Uskutočnené zmeny v číselníku oprávnených výdavkov (trieda, skupina) nie je možné aplikovať na už vyhlásené výzvy/vyzvania</w:t>
      </w:r>
      <w:r w:rsidRPr="00895CF5">
        <w:rPr>
          <w:rStyle w:val="Odkaznapoznmkupodiarou"/>
        </w:rPr>
        <w:footnoteReference w:id="1"/>
      </w:r>
      <w:r w:rsidRPr="00895CF5">
        <w:t xml:space="preserve"> (výnimkou sú iba legislatívne zmeny zakladajúce nutnosť zmeny v číselníku, pričom dané zmeny musia byť v súlade s podmienkami výzvy/vyzvania), t.j. zmeny sú platné do budúcna a na výzvy/vyzvania, ktoré sa plánujú vyhlásiť. </w:t>
      </w:r>
    </w:p>
    <w:p w:rsidR="00895CF5" w:rsidRPr="00895CF5" w:rsidRDefault="00895CF5" w:rsidP="00280A9B">
      <w:pPr>
        <w:pStyle w:val="Odsekzoznamu"/>
        <w:numPr>
          <w:ilvl w:val="0"/>
          <w:numId w:val="26"/>
        </w:numPr>
        <w:spacing w:after="120"/>
        <w:ind w:left="425" w:hanging="425"/>
        <w:contextualSpacing w:val="0"/>
        <w:jc w:val="both"/>
      </w:pPr>
      <w:r w:rsidRPr="00895CF5">
        <w:t>RO v prípade potreby požiada o zmeny s riadnym odôvodnením (doplnenie novej skupiny výdavkov), ktorej časti triedy, skupiny číselníka sa zmena týka. CKO ako správca ITMS 2014+ rozhodne na základe doručenej žiadosti o zaradení alebo nezaradení navrhovanej skupiny výdavkov do číselníka oprávnených výdavkov do 14 pracovných dní od jej doručenia.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môže požiadať CKO ako správcu ITMS 2014+ o zaradenie novej skupiny výdavkov uvedenej v číselníku oprávnených výdavkov štandardným formulárom žiadosti tvoriacim prílohu tohto metodického pokynu (príloha č. 2). Žiadosť musí byť podpísaná príslušným štatutárnym orgánom alebo ním poverenou osobou, resp. oprávnenou osobou RO. </w:t>
      </w:r>
    </w:p>
    <w:p w:rsidR="00895CF5" w:rsidRPr="00895CF5" w:rsidRDefault="00895CF5" w:rsidP="006D664B">
      <w:pPr>
        <w:pStyle w:val="Default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CKO ako správca ITMS 2014+ pred zaradením navrhovanej skupiny výdavkov </w:t>
      </w:r>
      <w:r w:rsidR="004F4A72">
        <w:rPr>
          <w:rFonts w:ascii="Times New Roman" w:hAnsi="Times New Roman" w:cs="Times New Roman"/>
        </w:rPr>
        <w:t xml:space="preserve">                   </w:t>
      </w:r>
      <w:r w:rsidRPr="00895CF5">
        <w:rPr>
          <w:rFonts w:ascii="Times New Roman" w:hAnsi="Times New Roman" w:cs="Times New Roman"/>
        </w:rPr>
        <w:t xml:space="preserve">do číselníka oprávnených výdavkov overuje: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spacing w:after="120"/>
        <w:ind w:left="851" w:hanging="426"/>
        <w:contextualSpacing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súlad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         </w:t>
      </w:r>
      <w:r w:rsidRPr="00895CF5">
        <w:rPr>
          <w:rFonts w:ascii="Times New Roman" w:hAnsi="Times New Roman" w:cs="Times New Roman"/>
        </w:rPr>
        <w:t xml:space="preserve">s ohľadom na všeobecné pravidlá oprávnenosti výdavkov uvedené v systéme riadenia EŠIF na programové obdobie 2014-2020; </w:t>
      </w:r>
    </w:p>
    <w:p w:rsidR="00895CF5" w:rsidRPr="00895CF5" w:rsidRDefault="00895CF5" w:rsidP="00773DDD">
      <w:pPr>
        <w:pStyle w:val="Default"/>
        <w:numPr>
          <w:ilvl w:val="0"/>
          <w:numId w:val="31"/>
        </w:numPr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posúdenie súladu s príslušnými opatreniami Ministerstva financií SR, ktorými sa ustanovujú podrobnosti o postupoch účtovania;</w:t>
      </w:r>
    </w:p>
    <w:p w:rsidR="00895CF5" w:rsidRPr="00895CF5" w:rsidRDefault="00895CF5" w:rsidP="006164EC">
      <w:pPr>
        <w:pStyle w:val="Default"/>
        <w:numPr>
          <w:ilvl w:val="0"/>
          <w:numId w:val="31"/>
        </w:numPr>
        <w:spacing w:after="120"/>
        <w:ind w:left="851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lastRenderedPageBreak/>
        <w:t xml:space="preserve">zdôvodnenie zaradenia novej skupiny výdavkov do číselníka oprávnených výdavkov </w:t>
      </w:r>
      <w:r w:rsidR="004F4A72">
        <w:rPr>
          <w:rFonts w:ascii="Times New Roman" w:hAnsi="Times New Roman" w:cs="Times New Roman"/>
        </w:rPr>
        <w:t xml:space="preserve">            </w:t>
      </w:r>
      <w:r w:rsidRPr="00895CF5">
        <w:rPr>
          <w:rFonts w:ascii="Times New Roman" w:hAnsi="Times New Roman" w:cs="Times New Roman"/>
        </w:rPr>
        <w:t xml:space="preserve">s ohľadom na výdavky, ktoré môžu vzniknúť v rámci podporovaných aktivít a vecné vymedzenie výdavkov uvedené v číselníku oprávnených výdavkov.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zaradenia navrhovanej skupiny výdavkov do číselníka oprávnených výdavkov oznámi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zaradenie a aktualizuje údaje číselníka oprávnených výdavkov (aktualizácia prílohy č. 1). </w:t>
      </w:r>
    </w:p>
    <w:p w:rsidR="00895CF5" w:rsidRPr="00895CF5" w:rsidRDefault="00895CF5" w:rsidP="00280A9B">
      <w:pPr>
        <w:pStyle w:val="Default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V prípade zamietnutia žiadosti na zaradenie skupiny výdavkov do číselníka oprávnených výdavkov CKO </w:t>
      </w:r>
      <w:r w:rsidR="00280A9B">
        <w:rPr>
          <w:rFonts w:ascii="Times New Roman" w:hAnsi="Times New Roman" w:cs="Times New Roman"/>
        </w:rPr>
        <w:t>RO</w:t>
      </w:r>
      <w:r w:rsidRPr="00895CF5">
        <w:rPr>
          <w:rFonts w:ascii="Times New Roman" w:hAnsi="Times New Roman" w:cs="Times New Roman"/>
        </w:rPr>
        <w:t xml:space="preserve"> zašle písomné odôvodnenie. Dôvodom zamietnutia môže byť najmä: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nekompletná alebo riadne nevyplnená a nepodpísaná žiadosť; </w:t>
      </w:r>
    </w:p>
    <w:p w:rsidR="00895CF5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 xml:space="preserve">navrhovaná skupina výdavkov spadá do kategórie všeobecne neoprávnených výdavkov v zmysle systému riadenia EŠIF na programové obdobie 2014-2020; </w:t>
      </w:r>
    </w:p>
    <w:p w:rsidR="00393784" w:rsidRPr="00895CF5" w:rsidRDefault="00895CF5" w:rsidP="00773DDD">
      <w:pPr>
        <w:pStyle w:val="Default"/>
        <w:numPr>
          <w:ilvl w:val="0"/>
          <w:numId w:val="32"/>
        </w:numPr>
        <w:ind w:left="851" w:hanging="425"/>
        <w:jc w:val="both"/>
        <w:rPr>
          <w:rFonts w:ascii="Times New Roman" w:hAnsi="Times New Roman" w:cs="Times New Roman"/>
        </w:rPr>
      </w:pPr>
      <w:r w:rsidRPr="00895CF5">
        <w:rPr>
          <w:rFonts w:ascii="Times New Roman" w:hAnsi="Times New Roman" w:cs="Times New Roman"/>
        </w:rPr>
        <w:t>navrhovaná skupina výdavkov nepokrýva výdavok</w:t>
      </w:r>
      <w:r w:rsidR="004F4A72">
        <w:rPr>
          <w:rFonts w:ascii="Times New Roman" w:hAnsi="Times New Roman" w:cs="Times New Roman"/>
        </w:rPr>
        <w:t xml:space="preserve"> </w:t>
      </w:r>
      <w:r w:rsidRPr="00895CF5">
        <w:rPr>
          <w:rFonts w:ascii="Times New Roman" w:hAnsi="Times New Roman" w:cs="Times New Roman"/>
        </w:rPr>
        <w:t>(výdavky) v zmysle zdôvodnenia uvedeného v príslušnej Žiadosti o zaradenie novej skupiny výdavkov do číselníka oprávnených výdavkov</w:t>
      </w:r>
      <w:r w:rsidR="00280A9B">
        <w:rPr>
          <w:rFonts w:ascii="Times New Roman" w:hAnsi="Times New Roman" w:cs="Times New Roman"/>
        </w:rPr>
        <w:t>.</w:t>
      </w:r>
    </w:p>
    <w:p w:rsidR="004F4A72" w:rsidRDefault="004F4A72">
      <w:pPr>
        <w:pStyle w:val="MPCKO1"/>
      </w:pPr>
      <w:bookmarkStart w:id="7" w:name="_Toc406155868"/>
      <w:r>
        <w:t xml:space="preserve">3 </w:t>
      </w:r>
      <w:r w:rsidRPr="004F4A72">
        <w:t>Záverečné a prechodné ustanovenia</w:t>
      </w:r>
      <w:bookmarkEnd w:id="7"/>
    </w:p>
    <w:p w:rsidR="004F4A72" w:rsidRDefault="004F4A72" w:rsidP="004F4A72">
      <w:pPr>
        <w:pStyle w:val="Odsekzoznamu"/>
        <w:numPr>
          <w:ilvl w:val="0"/>
          <w:numId w:val="34"/>
        </w:numPr>
        <w:ind w:left="426" w:hanging="426"/>
        <w:jc w:val="both"/>
      </w:pPr>
      <w:r>
        <w:t>RO</w:t>
      </w:r>
      <w:r w:rsidRPr="004F4A72">
        <w:t xml:space="preserve"> je povinný v prípade rozporu už vyhlásených výziev/vyzvaní a predložených žiadostí o NFP s týmto metodickým pokynom preukázateľným spôsobom v rámci ním vedenej dokumentácie k príslušnej výzve/vyzvania na predkladanie žiadostí o NFP zabezpečiť súlad rozpočtov vkladaných a používaných v ITMS s pôvodnými žiadosťami </w:t>
      </w:r>
      <w:r>
        <w:t xml:space="preserve">                         </w:t>
      </w:r>
      <w:r w:rsidRPr="004F4A72">
        <w:t>o poskytnutie NFP predložených žiadateľmi.</w:t>
      </w:r>
    </w:p>
    <w:p w:rsidR="004F4A72" w:rsidRDefault="00603E3E" w:rsidP="009E622C">
      <w:pPr>
        <w:pStyle w:val="MPCKO1"/>
      </w:pPr>
      <w:bookmarkStart w:id="8" w:name="_Toc406155869"/>
      <w:r>
        <w:t>Zoznam príloh</w:t>
      </w:r>
      <w:bookmarkEnd w:id="8"/>
    </w:p>
    <w:p w:rsidR="004F4A72" w:rsidRDefault="004F4A72" w:rsidP="004F4A72">
      <w:r>
        <w:t>1. Číselník oprávnených výdavkov</w:t>
      </w:r>
    </w:p>
    <w:p w:rsidR="004F4A72" w:rsidRPr="004F4A72" w:rsidRDefault="004F4A72" w:rsidP="004F4A72">
      <w:r>
        <w:t>2. Žiadosť o zaradenie novej skupiny výdavkov</w:t>
      </w:r>
    </w:p>
    <w:sectPr w:rsidR="004F4A72" w:rsidRPr="004F4A72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440" w:rsidRDefault="001B4440" w:rsidP="00B948E0">
      <w:r>
        <w:separator/>
      </w:r>
    </w:p>
  </w:endnote>
  <w:endnote w:type="continuationSeparator" w:id="0">
    <w:p w:rsidR="001B4440" w:rsidRDefault="001B444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E24E6F" wp14:editId="10E7F15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D223135" wp14:editId="13C6843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865FE">
          <w:rPr>
            <w:noProof/>
          </w:rPr>
          <w:t>3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440" w:rsidRDefault="001B4440" w:rsidP="00B948E0">
      <w:r>
        <w:separator/>
      </w:r>
    </w:p>
  </w:footnote>
  <w:footnote w:type="continuationSeparator" w:id="0">
    <w:p w:rsidR="001B4440" w:rsidRDefault="001B4440" w:rsidP="00B948E0">
      <w:r>
        <w:continuationSeparator/>
      </w:r>
    </w:p>
  </w:footnote>
  <w:footnote w:id="1">
    <w:p w:rsidR="00895CF5" w:rsidRPr="00280A9B" w:rsidRDefault="00895CF5" w:rsidP="00895CF5">
      <w:pPr>
        <w:pStyle w:val="Textpoznmkypodiarou"/>
        <w:jc w:val="both"/>
      </w:pPr>
      <w:r w:rsidRPr="00280A9B">
        <w:rPr>
          <w:rStyle w:val="Odkaznapoznmkupodiarou"/>
        </w:rPr>
        <w:footnoteRef/>
      </w:r>
      <w:r w:rsidRPr="00280A9B">
        <w:t xml:space="preserve"> V prípade otvorených výziev zmeny v číselníku oprávnených výdavkov je možné aplikovať len pri dodržaní zásady transparentnosti a rovnosti zaobchádzania a za predpokladu, že daným konaním nedôjde k podstatnej zmene otvorenej výzvy.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1ECF0" wp14:editId="401B89B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8-24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0A1267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24.08.2016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C7B89"/>
    <w:multiLevelType w:val="hybridMultilevel"/>
    <w:tmpl w:val="09F2C3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67ACB"/>
    <w:multiLevelType w:val="hybridMultilevel"/>
    <w:tmpl w:val="FB5EFE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057DD"/>
    <w:multiLevelType w:val="hybridMultilevel"/>
    <w:tmpl w:val="243EB7B8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FC5D46"/>
    <w:multiLevelType w:val="hybridMultilevel"/>
    <w:tmpl w:val="AE3E21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53E3E"/>
    <w:multiLevelType w:val="hybridMultilevel"/>
    <w:tmpl w:val="14BA816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40D18"/>
    <w:multiLevelType w:val="hybridMultilevel"/>
    <w:tmpl w:val="348A064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A50EAB"/>
    <w:multiLevelType w:val="hybridMultilevel"/>
    <w:tmpl w:val="32AEAE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D160E"/>
    <w:multiLevelType w:val="hybridMultilevel"/>
    <w:tmpl w:val="832230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50631"/>
    <w:multiLevelType w:val="hybridMultilevel"/>
    <w:tmpl w:val="B5282E4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5E7A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EF01923"/>
    <w:multiLevelType w:val="hybridMultilevel"/>
    <w:tmpl w:val="30B4E664"/>
    <w:lvl w:ilvl="0" w:tplc="A91AB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22"/>
  </w:num>
  <w:num w:numId="5">
    <w:abstractNumId w:val="11"/>
  </w:num>
  <w:num w:numId="6">
    <w:abstractNumId w:val="20"/>
  </w:num>
  <w:num w:numId="7">
    <w:abstractNumId w:val="19"/>
  </w:num>
  <w:num w:numId="8">
    <w:abstractNumId w:val="19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9"/>
  </w:num>
  <w:num w:numId="15">
    <w:abstractNumId w:val="19"/>
  </w:num>
  <w:num w:numId="16">
    <w:abstractNumId w:val="19"/>
  </w:num>
  <w:num w:numId="17">
    <w:abstractNumId w:val="14"/>
  </w:num>
  <w:num w:numId="18">
    <w:abstractNumId w:val="19"/>
  </w:num>
  <w:num w:numId="19">
    <w:abstractNumId w:val="18"/>
  </w:num>
  <w:num w:numId="20">
    <w:abstractNumId w:val="4"/>
  </w:num>
  <w:num w:numId="21">
    <w:abstractNumId w:val="3"/>
  </w:num>
  <w:num w:numId="22">
    <w:abstractNumId w:val="0"/>
  </w:num>
  <w:num w:numId="23">
    <w:abstractNumId w:val="23"/>
  </w:num>
  <w:num w:numId="24">
    <w:abstractNumId w:val="10"/>
  </w:num>
  <w:num w:numId="25">
    <w:abstractNumId w:val="6"/>
  </w:num>
  <w:num w:numId="26">
    <w:abstractNumId w:val="1"/>
  </w:num>
  <w:num w:numId="27">
    <w:abstractNumId w:val="21"/>
  </w:num>
  <w:num w:numId="28">
    <w:abstractNumId w:val="15"/>
  </w:num>
  <w:num w:numId="29">
    <w:abstractNumId w:val="17"/>
  </w:num>
  <w:num w:numId="30">
    <w:abstractNumId w:val="2"/>
  </w:num>
  <w:num w:numId="31">
    <w:abstractNumId w:val="8"/>
  </w:num>
  <w:num w:numId="32">
    <w:abstractNumId w:val="13"/>
  </w:num>
  <w:num w:numId="33">
    <w:abstractNumId w:val="7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1D40"/>
    <w:rsid w:val="00042704"/>
    <w:rsid w:val="00045C69"/>
    <w:rsid w:val="00050728"/>
    <w:rsid w:val="0005666D"/>
    <w:rsid w:val="00066955"/>
    <w:rsid w:val="00071088"/>
    <w:rsid w:val="000A1267"/>
    <w:rsid w:val="000D298C"/>
    <w:rsid w:val="000D6B86"/>
    <w:rsid w:val="000E2AA4"/>
    <w:rsid w:val="000F6D1D"/>
    <w:rsid w:val="00116F61"/>
    <w:rsid w:val="00127AED"/>
    <w:rsid w:val="0014641E"/>
    <w:rsid w:val="0015233E"/>
    <w:rsid w:val="00173917"/>
    <w:rsid w:val="001865FE"/>
    <w:rsid w:val="001873B5"/>
    <w:rsid w:val="001B12DC"/>
    <w:rsid w:val="001B27DA"/>
    <w:rsid w:val="001B4440"/>
    <w:rsid w:val="001B6E9F"/>
    <w:rsid w:val="001C513F"/>
    <w:rsid w:val="001D4B25"/>
    <w:rsid w:val="001F0193"/>
    <w:rsid w:val="002259C4"/>
    <w:rsid w:val="00225A05"/>
    <w:rsid w:val="002352EB"/>
    <w:rsid w:val="00246970"/>
    <w:rsid w:val="00256687"/>
    <w:rsid w:val="00274479"/>
    <w:rsid w:val="00280A9B"/>
    <w:rsid w:val="00290BBF"/>
    <w:rsid w:val="002A1E17"/>
    <w:rsid w:val="002D65BD"/>
    <w:rsid w:val="002E611C"/>
    <w:rsid w:val="002E7F32"/>
    <w:rsid w:val="002E7F66"/>
    <w:rsid w:val="00312B0E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E2120"/>
    <w:rsid w:val="004E3ABD"/>
    <w:rsid w:val="004F4A72"/>
    <w:rsid w:val="005122F6"/>
    <w:rsid w:val="00541FF5"/>
    <w:rsid w:val="0057619A"/>
    <w:rsid w:val="005800C7"/>
    <w:rsid w:val="00580A58"/>
    <w:rsid w:val="00586FDB"/>
    <w:rsid w:val="005B49EF"/>
    <w:rsid w:val="005C29FF"/>
    <w:rsid w:val="005F5B71"/>
    <w:rsid w:val="005F72C7"/>
    <w:rsid w:val="00603E3E"/>
    <w:rsid w:val="006164EC"/>
    <w:rsid w:val="00622D7A"/>
    <w:rsid w:val="00623659"/>
    <w:rsid w:val="006479DF"/>
    <w:rsid w:val="00660DCB"/>
    <w:rsid w:val="006719A0"/>
    <w:rsid w:val="00687102"/>
    <w:rsid w:val="006A5157"/>
    <w:rsid w:val="006A665B"/>
    <w:rsid w:val="006A7DF2"/>
    <w:rsid w:val="006C6A25"/>
    <w:rsid w:val="006D082A"/>
    <w:rsid w:val="006D3B82"/>
    <w:rsid w:val="006D664B"/>
    <w:rsid w:val="006E4FB5"/>
    <w:rsid w:val="006F15B4"/>
    <w:rsid w:val="0076414C"/>
    <w:rsid w:val="00765555"/>
    <w:rsid w:val="00771CC6"/>
    <w:rsid w:val="00773DDD"/>
    <w:rsid w:val="00782970"/>
    <w:rsid w:val="007A0A10"/>
    <w:rsid w:val="007A60EF"/>
    <w:rsid w:val="007F0D9A"/>
    <w:rsid w:val="00801225"/>
    <w:rsid w:val="0084743A"/>
    <w:rsid w:val="00850467"/>
    <w:rsid w:val="008743E6"/>
    <w:rsid w:val="008806AC"/>
    <w:rsid w:val="0088601C"/>
    <w:rsid w:val="00895CF5"/>
    <w:rsid w:val="008B41F1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B421D"/>
    <w:rsid w:val="009E622C"/>
    <w:rsid w:val="00A144AE"/>
    <w:rsid w:val="00A6301C"/>
    <w:rsid w:val="00A91931"/>
    <w:rsid w:val="00A9254C"/>
    <w:rsid w:val="00AB29E7"/>
    <w:rsid w:val="00AB755C"/>
    <w:rsid w:val="00AD5941"/>
    <w:rsid w:val="00B12061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5CF1"/>
    <w:rsid w:val="00C214B6"/>
    <w:rsid w:val="00C348A2"/>
    <w:rsid w:val="00C37B65"/>
    <w:rsid w:val="00C6439D"/>
    <w:rsid w:val="00C92BF0"/>
    <w:rsid w:val="00CA0FB2"/>
    <w:rsid w:val="00CA208E"/>
    <w:rsid w:val="00CD3D13"/>
    <w:rsid w:val="00CF60E2"/>
    <w:rsid w:val="00D05350"/>
    <w:rsid w:val="00D239D4"/>
    <w:rsid w:val="00D61BB6"/>
    <w:rsid w:val="00D86DA2"/>
    <w:rsid w:val="00DA6F6B"/>
    <w:rsid w:val="00DB798B"/>
    <w:rsid w:val="00E24D44"/>
    <w:rsid w:val="00E30577"/>
    <w:rsid w:val="00E40048"/>
    <w:rsid w:val="00E52D37"/>
    <w:rsid w:val="00E5416A"/>
    <w:rsid w:val="00E66D03"/>
    <w:rsid w:val="00E742C1"/>
    <w:rsid w:val="00E745C0"/>
    <w:rsid w:val="00E74EA1"/>
    <w:rsid w:val="00E7702D"/>
    <w:rsid w:val="00EE70FE"/>
    <w:rsid w:val="00F0607A"/>
    <w:rsid w:val="00F10B9D"/>
    <w:rsid w:val="00F2707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895C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A52A8"/>
    <w:rsid w:val="000E30BC"/>
    <w:rsid w:val="001E1270"/>
    <w:rsid w:val="00267739"/>
    <w:rsid w:val="00340392"/>
    <w:rsid w:val="003B77F1"/>
    <w:rsid w:val="004652B3"/>
    <w:rsid w:val="00520ED9"/>
    <w:rsid w:val="00594E98"/>
    <w:rsid w:val="005D6084"/>
    <w:rsid w:val="00616C33"/>
    <w:rsid w:val="00641A3F"/>
    <w:rsid w:val="007773AB"/>
    <w:rsid w:val="008225C7"/>
    <w:rsid w:val="00845353"/>
    <w:rsid w:val="0085402B"/>
    <w:rsid w:val="00A25D01"/>
    <w:rsid w:val="00AF4D2B"/>
    <w:rsid w:val="00B449CF"/>
    <w:rsid w:val="00C16CB5"/>
    <w:rsid w:val="00C35EFC"/>
    <w:rsid w:val="00CE2D99"/>
    <w:rsid w:val="00DA2E53"/>
    <w:rsid w:val="00DF1217"/>
    <w:rsid w:val="00E02953"/>
    <w:rsid w:val="00E960CC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2B52F-3E34-49E1-9636-BB6473D9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CKO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Tibor Barna</cp:lastModifiedBy>
  <cp:revision>5</cp:revision>
  <cp:lastPrinted>2014-06-27T08:05:00Z</cp:lastPrinted>
  <dcterms:created xsi:type="dcterms:W3CDTF">2016-08-19T13:13:00Z</dcterms:created>
  <dcterms:modified xsi:type="dcterms:W3CDTF">2016-08-24T13:52:00Z</dcterms:modified>
</cp:coreProperties>
</file>