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9FC" w:rsidRPr="00727285" w:rsidRDefault="006829FC" w:rsidP="00727285">
      <w:pPr>
        <w:pStyle w:val="Default"/>
        <w:spacing w:before="120" w:after="120"/>
        <w:rPr>
          <w:rFonts w:ascii="Times New Roman" w:hAnsi="Times New Roman" w:cs="Times New Roman"/>
        </w:rPr>
      </w:pPr>
    </w:p>
    <w:p w:rsidR="00963010" w:rsidRDefault="00963010" w:rsidP="00963010">
      <w:pPr>
        <w:pStyle w:val="Nzov"/>
        <w:pBdr>
          <w:bottom w:val="single" w:sz="8" w:space="1" w:color="5F497A"/>
        </w:pBdr>
        <w:rPr>
          <w:rFonts w:ascii="Times New Roman" w:hAnsi="Times New Roman"/>
        </w:rPr>
      </w:pPr>
      <w:r w:rsidRPr="00C93397">
        <w:rPr>
          <w:rFonts w:ascii="Times New Roman" w:hAnsi="Times New Roman"/>
        </w:rPr>
        <w:t>Vyzvanie na projekty technickej pomoci</w:t>
      </w:r>
      <w:r>
        <w:rPr>
          <w:rFonts w:ascii="Times New Roman" w:hAnsi="Times New Roman"/>
        </w:rPr>
        <w:br/>
        <w:t>č.</w:t>
      </w:r>
      <w:r w:rsidRPr="002B3A70">
        <w:rPr>
          <w:b/>
          <w:sz w:val="28"/>
          <w:szCs w:val="28"/>
        </w:rPr>
        <w:t xml:space="preserve"> </w:t>
      </w:r>
      <w:r w:rsidRPr="008B1F86">
        <w:rPr>
          <w:rFonts w:ascii="Times New Roman" w:hAnsi="Times New Roman"/>
        </w:rPr>
        <w:t>(kód)</w:t>
      </w:r>
      <w:r>
        <w:rPr>
          <w:b/>
          <w:sz w:val="28"/>
          <w:szCs w:val="28"/>
        </w:rPr>
        <w:t xml:space="preserve"> </w:t>
      </w:r>
      <w:r w:rsidRPr="002B3A70">
        <w:rPr>
          <w:rFonts w:ascii="Times New Roman" w:hAnsi="Times New Roman"/>
        </w:rPr>
        <w:t>OPTP-P</w:t>
      </w:r>
      <w:r>
        <w:rPr>
          <w:rFonts w:ascii="Times New Roman" w:hAnsi="Times New Roman"/>
        </w:rPr>
        <w:t>O1</w:t>
      </w:r>
      <w:r w:rsidRPr="002B3A70">
        <w:rPr>
          <w:rFonts w:ascii="Times New Roman" w:hAnsi="Times New Roman"/>
        </w:rPr>
        <w:t>-SC</w:t>
      </w:r>
      <w:r>
        <w:rPr>
          <w:rFonts w:ascii="Times New Roman" w:hAnsi="Times New Roman"/>
        </w:rPr>
        <w:t>1</w:t>
      </w:r>
      <w:r w:rsidRPr="002B3A70">
        <w:rPr>
          <w:rFonts w:ascii="Times New Roman" w:hAnsi="Times New Roman"/>
        </w:rPr>
        <w:t>-2016-</w:t>
      </w:r>
      <w:r>
        <w:rPr>
          <w:rFonts w:ascii="Times New Roman" w:hAnsi="Times New Roman"/>
        </w:rPr>
        <w:t>11</w:t>
      </w:r>
    </w:p>
    <w:p w:rsidR="00963010" w:rsidRPr="00727285" w:rsidRDefault="00963010" w:rsidP="00963010">
      <w:pPr>
        <w:spacing w:before="120" w:after="120"/>
      </w:pPr>
      <w:r>
        <w:rPr>
          <w:b/>
          <w:sz w:val="28"/>
          <w:szCs w:val="28"/>
        </w:rPr>
        <w:t xml:space="preserve">Názov vyzvania: </w:t>
      </w:r>
      <w:r w:rsidRPr="00737D33">
        <w:rPr>
          <w:rFonts w:ascii="Calibri" w:eastAsia="Calibri" w:hAnsi="Calibri"/>
          <w:b/>
          <w:sz w:val="28"/>
          <w:szCs w:val="28"/>
        </w:rPr>
        <w:t xml:space="preserve">Príprava nových </w:t>
      </w:r>
      <w:r w:rsidR="00B26C9C">
        <w:rPr>
          <w:rFonts w:ascii="Calibri" w:eastAsia="Calibri" w:hAnsi="Calibri"/>
          <w:b/>
          <w:sz w:val="28"/>
          <w:szCs w:val="28"/>
        </w:rPr>
        <w:t>kapacít</w:t>
      </w:r>
      <w:r w:rsidRPr="00737D33">
        <w:rPr>
          <w:rFonts w:ascii="Calibri" w:eastAsia="Calibri" w:hAnsi="Calibri"/>
          <w:b/>
          <w:sz w:val="28"/>
          <w:szCs w:val="28"/>
        </w:rPr>
        <w:t xml:space="preserve"> pre EŠIF</w:t>
      </w:r>
      <w:r w:rsidRPr="0060262C">
        <w:rPr>
          <w:b/>
          <w:sz w:val="28"/>
          <w:szCs w:val="28"/>
        </w:rPr>
        <w:t xml:space="preserve"> 1</w:t>
      </w:r>
    </w:p>
    <w:p w:rsidR="006829FC" w:rsidRPr="00727285" w:rsidRDefault="006829FC" w:rsidP="00963010">
      <w:pPr>
        <w:jc w:val="both"/>
      </w:pPr>
    </w:p>
    <w:p w:rsidR="006829FC" w:rsidRPr="002D08EE" w:rsidRDefault="006829FC" w:rsidP="00727285">
      <w:pPr>
        <w:pStyle w:val="Odsekzoznamu"/>
        <w:numPr>
          <w:ilvl w:val="0"/>
          <w:numId w:val="1"/>
        </w:numPr>
        <w:pBdr>
          <w:top w:val="single" w:sz="4" w:space="1" w:color="auto"/>
          <w:left w:val="single" w:sz="4" w:space="4" w:color="auto"/>
          <w:bottom w:val="single" w:sz="4" w:space="1" w:color="auto"/>
          <w:right w:val="single" w:sz="4" w:space="4" w:color="auto"/>
        </w:pBdr>
        <w:shd w:val="clear" w:color="auto" w:fill="CCC0D9" w:themeFill="accent4" w:themeFillTint="66"/>
        <w:spacing w:before="120" w:after="120"/>
        <w:jc w:val="center"/>
        <w:rPr>
          <w:b/>
          <w:sz w:val="28"/>
          <w:szCs w:val="28"/>
        </w:rPr>
      </w:pPr>
      <w:r w:rsidRPr="002D08EE">
        <w:rPr>
          <w:b/>
          <w:sz w:val="28"/>
          <w:szCs w:val="28"/>
        </w:rPr>
        <w:t>Formálne náležitosti:</w:t>
      </w:r>
    </w:p>
    <w:p w:rsidR="006829FC" w:rsidRPr="002D08EE" w:rsidRDefault="006829FC" w:rsidP="002D08EE">
      <w:pPr>
        <w:spacing w:before="120" w:after="120" w:line="360" w:lineRule="auto"/>
        <w:rPr>
          <w:rFonts w:asciiTheme="minorHAnsi" w:hAnsiTheme="minorHAnsi"/>
          <w:b/>
          <w:sz w:val="22"/>
          <w:szCs w:val="22"/>
        </w:rPr>
      </w:pPr>
      <w:r w:rsidRPr="002D08EE">
        <w:rPr>
          <w:rFonts w:asciiTheme="minorHAnsi" w:hAnsiTheme="minorHAnsi"/>
          <w:b/>
          <w:sz w:val="22"/>
          <w:szCs w:val="22"/>
        </w:rPr>
        <w:t xml:space="preserve">Operačný program: </w:t>
      </w:r>
      <w:r w:rsidRPr="002D08EE">
        <w:rPr>
          <w:rFonts w:asciiTheme="minorHAnsi" w:hAnsiTheme="minorHAnsi"/>
          <w:bCs/>
          <w:sz w:val="22"/>
          <w:szCs w:val="22"/>
        </w:rPr>
        <w:t>Technická pomoc</w:t>
      </w:r>
    </w:p>
    <w:p w:rsidR="006829FC" w:rsidRPr="002D08EE" w:rsidRDefault="006829FC" w:rsidP="002D08EE">
      <w:pPr>
        <w:spacing w:before="120" w:after="120" w:line="360" w:lineRule="auto"/>
        <w:rPr>
          <w:rFonts w:asciiTheme="minorHAnsi" w:hAnsiTheme="minorHAnsi"/>
          <w:b/>
          <w:sz w:val="22"/>
          <w:szCs w:val="22"/>
        </w:rPr>
      </w:pPr>
      <w:r w:rsidRPr="002D08EE">
        <w:rPr>
          <w:rFonts w:asciiTheme="minorHAnsi" w:hAnsiTheme="minorHAnsi"/>
          <w:b/>
          <w:sz w:val="22"/>
          <w:szCs w:val="22"/>
        </w:rPr>
        <w:t xml:space="preserve">Prioritná os: </w:t>
      </w:r>
      <w:r w:rsidRPr="002D08EE">
        <w:rPr>
          <w:rFonts w:asciiTheme="minorHAnsi" w:hAnsiTheme="minorHAnsi"/>
          <w:sz w:val="22"/>
          <w:szCs w:val="22"/>
        </w:rPr>
        <w:t>1 - Riadenie, kontrola a audit EŠIF</w:t>
      </w:r>
    </w:p>
    <w:p w:rsidR="005A7C33" w:rsidRPr="002D08EE" w:rsidRDefault="006829FC" w:rsidP="002D08EE">
      <w:pPr>
        <w:spacing w:before="120" w:after="120" w:line="360" w:lineRule="auto"/>
        <w:rPr>
          <w:rFonts w:asciiTheme="minorHAnsi" w:hAnsiTheme="minorHAnsi"/>
          <w:b/>
          <w:sz w:val="22"/>
          <w:szCs w:val="22"/>
        </w:rPr>
      </w:pPr>
      <w:r w:rsidRPr="002D08EE">
        <w:rPr>
          <w:rFonts w:asciiTheme="minorHAnsi" w:hAnsiTheme="minorHAnsi"/>
          <w:b/>
          <w:sz w:val="22"/>
          <w:szCs w:val="22"/>
        </w:rPr>
        <w:t xml:space="preserve">Špecifický cieľ: </w:t>
      </w:r>
      <w:r w:rsidRPr="002D08EE">
        <w:rPr>
          <w:rFonts w:asciiTheme="minorHAnsi" w:hAnsiTheme="minorHAnsi"/>
          <w:sz w:val="22"/>
          <w:szCs w:val="22"/>
        </w:rPr>
        <w:t>1 - Zabezpečiť stabilizáciu pracovníkov subjektov zapojených do systému riadenia, kontroly a auditu EŠIF</w:t>
      </w:r>
    </w:p>
    <w:p w:rsidR="006829FC" w:rsidRPr="00926015" w:rsidRDefault="006829FC" w:rsidP="00727285">
      <w:pPr>
        <w:pStyle w:val="Odsekzoznamu"/>
        <w:numPr>
          <w:ilvl w:val="1"/>
          <w:numId w:val="1"/>
        </w:numPr>
        <w:spacing w:before="120" w:after="120"/>
        <w:rPr>
          <w:b/>
        </w:rPr>
      </w:pPr>
      <w:r w:rsidRPr="00926015">
        <w:rPr>
          <w:b/>
        </w:rPr>
        <w:t xml:space="preserve">Poskytovateľ: </w:t>
      </w:r>
    </w:p>
    <w:p w:rsidR="006829FC" w:rsidRPr="002D08EE" w:rsidRDefault="006829FC" w:rsidP="002D08EE">
      <w:pPr>
        <w:spacing w:before="120" w:after="120" w:line="360" w:lineRule="auto"/>
        <w:rPr>
          <w:rFonts w:asciiTheme="minorHAnsi" w:hAnsiTheme="minorHAnsi"/>
          <w:sz w:val="22"/>
          <w:szCs w:val="22"/>
        </w:rPr>
      </w:pPr>
      <w:r w:rsidRPr="002D08EE">
        <w:rPr>
          <w:rFonts w:asciiTheme="minorHAnsi" w:hAnsiTheme="minorHAnsi"/>
          <w:b/>
          <w:sz w:val="22"/>
          <w:szCs w:val="22"/>
        </w:rPr>
        <w:t>Názov:</w:t>
      </w:r>
      <w:r w:rsidRPr="002D08EE">
        <w:rPr>
          <w:rFonts w:asciiTheme="minorHAnsi" w:hAnsiTheme="minorHAnsi"/>
          <w:sz w:val="22"/>
          <w:szCs w:val="22"/>
        </w:rPr>
        <w:t xml:space="preserve"> Úrad vlády SR, riadiaci orgán pre OP TP</w:t>
      </w:r>
    </w:p>
    <w:p w:rsidR="006829FC" w:rsidRPr="002D08EE" w:rsidRDefault="006829FC" w:rsidP="002D08EE">
      <w:pPr>
        <w:spacing w:before="120" w:after="120" w:line="360" w:lineRule="auto"/>
        <w:rPr>
          <w:rFonts w:asciiTheme="minorHAnsi" w:hAnsiTheme="minorHAnsi"/>
          <w:sz w:val="22"/>
          <w:szCs w:val="22"/>
        </w:rPr>
      </w:pPr>
      <w:r w:rsidRPr="002D08EE">
        <w:rPr>
          <w:rFonts w:asciiTheme="minorHAnsi" w:hAnsiTheme="minorHAnsi"/>
          <w:b/>
          <w:sz w:val="22"/>
          <w:szCs w:val="22"/>
        </w:rPr>
        <w:t>Adresa:</w:t>
      </w:r>
      <w:r w:rsidRPr="002D08EE">
        <w:rPr>
          <w:rFonts w:asciiTheme="minorHAnsi" w:hAnsiTheme="minorHAnsi"/>
          <w:sz w:val="22"/>
          <w:szCs w:val="22"/>
        </w:rPr>
        <w:t xml:space="preserve"> Námestie slobody 1, 813 70 Bratislava, Slovenská republika</w:t>
      </w:r>
    </w:p>
    <w:p w:rsidR="006829FC" w:rsidRPr="00761784" w:rsidRDefault="006829FC" w:rsidP="002D08EE">
      <w:pPr>
        <w:pStyle w:val="Odsekzoznamu"/>
        <w:numPr>
          <w:ilvl w:val="1"/>
          <w:numId w:val="1"/>
        </w:numPr>
        <w:spacing w:before="120" w:after="120"/>
        <w:rPr>
          <w:b/>
        </w:rPr>
      </w:pPr>
      <w:r w:rsidRPr="00761784">
        <w:rPr>
          <w:b/>
        </w:rPr>
        <w:t>Dĺžka trvania vyzvania</w:t>
      </w:r>
    </w:p>
    <w:p w:rsidR="006829FC" w:rsidRPr="002D08EE" w:rsidRDefault="006829FC" w:rsidP="002D08EE">
      <w:pPr>
        <w:spacing w:before="120" w:after="120" w:line="360" w:lineRule="auto"/>
        <w:rPr>
          <w:rFonts w:asciiTheme="minorHAnsi" w:hAnsiTheme="minorHAnsi"/>
          <w:sz w:val="22"/>
          <w:szCs w:val="22"/>
        </w:rPr>
      </w:pPr>
      <w:r w:rsidRPr="002D08EE">
        <w:rPr>
          <w:rFonts w:asciiTheme="minorHAnsi" w:hAnsiTheme="minorHAnsi"/>
          <w:b/>
          <w:sz w:val="22"/>
          <w:szCs w:val="22"/>
        </w:rPr>
        <w:t>Typ vyzvania:</w:t>
      </w:r>
      <w:r w:rsidRPr="002D08EE">
        <w:rPr>
          <w:rFonts w:asciiTheme="minorHAnsi" w:hAnsiTheme="minorHAnsi"/>
          <w:sz w:val="22"/>
          <w:szCs w:val="22"/>
        </w:rPr>
        <w:t xml:space="preserve"> otvorené</w:t>
      </w:r>
    </w:p>
    <w:p w:rsidR="006829FC" w:rsidRPr="002D08EE" w:rsidRDefault="006829FC" w:rsidP="002D08EE">
      <w:pPr>
        <w:spacing w:before="120" w:after="120" w:line="360" w:lineRule="auto"/>
        <w:rPr>
          <w:rFonts w:asciiTheme="minorHAnsi" w:hAnsiTheme="minorHAnsi"/>
          <w:sz w:val="22"/>
          <w:szCs w:val="22"/>
        </w:rPr>
      </w:pPr>
      <w:r w:rsidRPr="002D08EE">
        <w:rPr>
          <w:rFonts w:asciiTheme="minorHAnsi" w:hAnsiTheme="minorHAnsi"/>
          <w:b/>
          <w:sz w:val="22"/>
          <w:szCs w:val="22"/>
        </w:rPr>
        <w:t>Dátum vyhlásenia:</w:t>
      </w:r>
      <w:r w:rsidRPr="002D08EE">
        <w:rPr>
          <w:rFonts w:asciiTheme="minorHAnsi" w:hAnsiTheme="minorHAnsi"/>
          <w:sz w:val="22"/>
          <w:szCs w:val="22"/>
        </w:rPr>
        <w:t xml:space="preserve"> </w:t>
      </w:r>
      <w:r w:rsidR="00180C29" w:rsidRPr="002D08EE">
        <w:rPr>
          <w:rFonts w:asciiTheme="minorHAnsi" w:hAnsiTheme="minorHAnsi"/>
          <w:sz w:val="22"/>
          <w:szCs w:val="22"/>
        </w:rPr>
        <w:t>1</w:t>
      </w:r>
      <w:r w:rsidR="00180C29">
        <w:rPr>
          <w:rFonts w:asciiTheme="minorHAnsi" w:hAnsiTheme="minorHAnsi"/>
          <w:sz w:val="22"/>
          <w:szCs w:val="22"/>
        </w:rPr>
        <w:t>5</w:t>
      </w:r>
      <w:r w:rsidRPr="002D08EE">
        <w:rPr>
          <w:rFonts w:asciiTheme="minorHAnsi" w:hAnsiTheme="minorHAnsi"/>
          <w:sz w:val="22"/>
          <w:szCs w:val="22"/>
        </w:rPr>
        <w:t>/</w:t>
      </w:r>
      <w:r w:rsidR="00C25D76" w:rsidRPr="002D08EE">
        <w:rPr>
          <w:rFonts w:asciiTheme="minorHAnsi" w:hAnsiTheme="minorHAnsi"/>
          <w:sz w:val="22"/>
          <w:szCs w:val="22"/>
        </w:rPr>
        <w:t>12</w:t>
      </w:r>
      <w:r w:rsidRPr="002D08EE">
        <w:rPr>
          <w:rFonts w:asciiTheme="minorHAnsi" w:hAnsiTheme="minorHAnsi"/>
          <w:sz w:val="22"/>
          <w:szCs w:val="22"/>
        </w:rPr>
        <w:t>/2016</w:t>
      </w:r>
    </w:p>
    <w:p w:rsidR="006829FC" w:rsidRPr="002D08EE" w:rsidRDefault="006829FC" w:rsidP="002D08EE">
      <w:pPr>
        <w:spacing w:line="276" w:lineRule="auto"/>
        <w:jc w:val="both"/>
        <w:rPr>
          <w:rFonts w:asciiTheme="minorHAnsi" w:hAnsiTheme="minorHAnsi"/>
          <w:sz w:val="22"/>
          <w:szCs w:val="22"/>
        </w:rPr>
      </w:pPr>
      <w:r w:rsidRPr="002D08EE">
        <w:rPr>
          <w:rFonts w:asciiTheme="minorHAnsi" w:hAnsiTheme="minorHAnsi"/>
          <w:b/>
          <w:sz w:val="22"/>
          <w:szCs w:val="22"/>
        </w:rPr>
        <w:t>Dátum uzavretia:</w:t>
      </w:r>
      <w:r w:rsidRPr="002D08EE">
        <w:rPr>
          <w:rFonts w:asciiTheme="minorHAnsi" w:hAnsiTheme="minorHAnsi"/>
          <w:sz w:val="22"/>
          <w:szCs w:val="22"/>
        </w:rPr>
        <w:t xml:space="preserve"> do vyčerpania vyčlenených finančných prostriedkov alebo na základe rozhodnutia RO OP TP, najmä z dôvodu uspokojenia dopytu oprávnených žiadateľov. Presný dátum uzavretia vyzvania zverejní RO OP TP na webovom sídle http://optp.vlada.gov.sk.  </w:t>
      </w:r>
    </w:p>
    <w:p w:rsidR="006829FC" w:rsidRPr="00CF63F4" w:rsidRDefault="006829FC" w:rsidP="00727285">
      <w:pPr>
        <w:pStyle w:val="Odsekzoznamu"/>
        <w:numPr>
          <w:ilvl w:val="1"/>
          <w:numId w:val="1"/>
        </w:numPr>
        <w:spacing w:before="120" w:after="120"/>
        <w:rPr>
          <w:b/>
        </w:rPr>
      </w:pPr>
      <w:r w:rsidRPr="00CF63F4">
        <w:rPr>
          <w:b/>
        </w:rPr>
        <w:t>Indikatívna výška finančných prostriedkov vyčlenených na vyzvanie (zdroje EÚ)</w:t>
      </w:r>
    </w:p>
    <w:p w:rsidR="006829FC" w:rsidRPr="002D08EE" w:rsidRDefault="006829FC" w:rsidP="002D08EE">
      <w:pPr>
        <w:spacing w:before="120" w:after="120" w:line="360" w:lineRule="auto"/>
        <w:rPr>
          <w:rFonts w:asciiTheme="minorHAnsi" w:hAnsiTheme="minorHAnsi"/>
          <w:sz w:val="22"/>
          <w:szCs w:val="22"/>
        </w:rPr>
      </w:pPr>
      <w:r w:rsidRPr="002D08EE">
        <w:rPr>
          <w:rFonts w:asciiTheme="minorHAnsi" w:hAnsiTheme="minorHAnsi"/>
          <w:sz w:val="22"/>
          <w:szCs w:val="22"/>
        </w:rPr>
        <w:t xml:space="preserve">Indikatívna výška zdrojov EÚ v rámci vyzvania je </w:t>
      </w:r>
      <w:r w:rsidR="008216B8" w:rsidRPr="002D08EE">
        <w:rPr>
          <w:rFonts w:asciiTheme="minorHAnsi" w:hAnsiTheme="minorHAnsi"/>
          <w:sz w:val="22"/>
          <w:szCs w:val="22"/>
        </w:rPr>
        <w:t xml:space="preserve"> </w:t>
      </w:r>
      <w:r w:rsidR="006F20F1" w:rsidRPr="002D08EE">
        <w:rPr>
          <w:rFonts w:asciiTheme="minorHAnsi" w:hAnsiTheme="minorHAnsi"/>
          <w:b/>
          <w:bCs/>
          <w:sz w:val="22"/>
          <w:szCs w:val="22"/>
        </w:rPr>
        <w:t>3</w:t>
      </w:r>
      <w:r w:rsidRPr="002D08EE">
        <w:rPr>
          <w:rFonts w:asciiTheme="minorHAnsi" w:hAnsiTheme="minorHAnsi"/>
          <w:b/>
          <w:bCs/>
          <w:sz w:val="22"/>
          <w:szCs w:val="22"/>
        </w:rPr>
        <w:t xml:space="preserve">00 000,00 </w:t>
      </w:r>
      <w:r w:rsidRPr="002D08EE">
        <w:rPr>
          <w:rFonts w:asciiTheme="minorHAnsi" w:hAnsiTheme="minorHAnsi"/>
          <w:sz w:val="22"/>
          <w:szCs w:val="22"/>
        </w:rPr>
        <w:t xml:space="preserve">€. </w:t>
      </w:r>
    </w:p>
    <w:p w:rsidR="006829FC" w:rsidRPr="00CF63F4" w:rsidRDefault="006829FC" w:rsidP="00727285">
      <w:pPr>
        <w:pStyle w:val="Odsekzoznamu"/>
        <w:numPr>
          <w:ilvl w:val="1"/>
          <w:numId w:val="1"/>
        </w:numPr>
        <w:spacing w:before="120" w:after="120"/>
        <w:rPr>
          <w:b/>
        </w:rPr>
      </w:pPr>
      <w:r w:rsidRPr="00CF63F4">
        <w:rPr>
          <w:b/>
        </w:rPr>
        <w:t>Financovanie projektu</w:t>
      </w:r>
    </w:p>
    <w:p w:rsidR="006829FC" w:rsidRDefault="006829FC" w:rsidP="002D08EE">
      <w:pPr>
        <w:spacing w:before="120" w:after="120" w:line="276" w:lineRule="auto"/>
        <w:ind w:firstLine="357"/>
        <w:jc w:val="both"/>
        <w:rPr>
          <w:rFonts w:asciiTheme="minorHAnsi" w:hAnsiTheme="minorHAnsi"/>
          <w:sz w:val="22"/>
          <w:szCs w:val="22"/>
        </w:rPr>
      </w:pPr>
      <w:r w:rsidRPr="002D08EE">
        <w:rPr>
          <w:rFonts w:asciiTheme="minorHAnsi" w:hAnsiTheme="minorHAnsi"/>
          <w:sz w:val="22"/>
          <w:szCs w:val="22"/>
        </w:rPr>
        <w:t>Poskytovateľ zabezpečí financovanie projektu v súlade s pravidlami Stratégie financovania EŠIF na programové obdobie 2014-2020 podľa typu prijímateľa nasledovne:</w:t>
      </w:r>
    </w:p>
    <w:p w:rsidR="00CF63F4" w:rsidRDefault="00F12069" w:rsidP="00CF63F4">
      <w:pPr>
        <w:pStyle w:val="Odsekzoznamu"/>
        <w:numPr>
          <w:ilvl w:val="0"/>
          <w:numId w:val="22"/>
        </w:numPr>
        <w:spacing w:before="240" w:after="240"/>
        <w:ind w:left="284" w:hanging="284"/>
        <w:jc w:val="both"/>
        <w:rPr>
          <w:rFonts w:asciiTheme="minorHAnsi" w:hAnsiTheme="minorHAnsi"/>
          <w:sz w:val="22"/>
          <w:szCs w:val="22"/>
        </w:rPr>
      </w:pPr>
      <w:r w:rsidRPr="007B1092">
        <w:rPr>
          <w:rFonts w:asciiTheme="minorHAnsi" w:hAnsiTheme="minorHAnsi"/>
          <w:sz w:val="22"/>
          <w:szCs w:val="22"/>
        </w:rPr>
        <w:t>P</w:t>
      </w:r>
      <w:r w:rsidR="00CF63F4" w:rsidRPr="007B1092">
        <w:rPr>
          <w:rFonts w:asciiTheme="minorHAnsi" w:hAnsiTheme="minorHAnsi"/>
          <w:sz w:val="22"/>
          <w:szCs w:val="22"/>
        </w:rPr>
        <w:t>rijímateľ– organizácia štátnej správy</w:t>
      </w:r>
      <w:r w:rsidR="00A86C8C">
        <w:rPr>
          <w:rFonts w:asciiTheme="minorHAnsi" w:hAnsiTheme="minorHAnsi"/>
          <w:sz w:val="22"/>
          <w:szCs w:val="22"/>
        </w:rPr>
        <w:t xml:space="preserve"> </w:t>
      </w:r>
      <w:r w:rsidR="00CF63F4" w:rsidRPr="007B1092">
        <w:rPr>
          <w:rFonts w:asciiTheme="minorHAnsi" w:hAnsiTheme="minorHAnsi"/>
          <w:sz w:val="22"/>
          <w:szCs w:val="22"/>
        </w:rPr>
        <w:t>(časť 3.2.1.1 Stratégie financovania Európskych štrukturálnych a investičných fondov pre programové obdobie 2014 – 2020)</w:t>
      </w:r>
    </w:p>
    <w:p w:rsidR="00EA7C0C" w:rsidRDefault="00EA7C0C" w:rsidP="007775EB">
      <w:pPr>
        <w:spacing w:before="240" w:after="240"/>
        <w:jc w:val="both"/>
        <w:rPr>
          <w:rFonts w:asciiTheme="minorHAnsi" w:hAnsiTheme="minorHAnsi"/>
          <w:sz w:val="22"/>
          <w:szCs w:val="22"/>
        </w:rPr>
      </w:pPr>
    </w:p>
    <w:p w:rsidR="00EA7C0C" w:rsidRDefault="00EA7C0C" w:rsidP="007775EB">
      <w:pPr>
        <w:spacing w:before="240" w:after="240"/>
        <w:jc w:val="both"/>
        <w:rPr>
          <w:rFonts w:asciiTheme="minorHAnsi" w:hAnsiTheme="minorHAnsi"/>
          <w:sz w:val="22"/>
          <w:szCs w:val="22"/>
        </w:rPr>
      </w:pPr>
    </w:p>
    <w:p w:rsidR="00EA7C0C" w:rsidRPr="007775EB" w:rsidRDefault="00EA7C0C" w:rsidP="007775EB">
      <w:pPr>
        <w:spacing w:before="240" w:after="240"/>
        <w:jc w:val="both"/>
        <w:rPr>
          <w:rFonts w:asciiTheme="minorHAnsi" w:hAnsiTheme="minorHAnsi"/>
          <w:sz w:val="22"/>
          <w:szCs w:val="22"/>
        </w:rPr>
      </w:pPr>
    </w:p>
    <w:tbl>
      <w:tblPr>
        <w:tblW w:w="9145" w:type="dxa"/>
        <w:tblInd w:w="-3" w:type="dxa"/>
        <w:tblCellMar>
          <w:left w:w="0" w:type="dxa"/>
          <w:right w:w="0" w:type="dxa"/>
        </w:tblCellMar>
        <w:tblLook w:val="04A0" w:firstRow="1" w:lastRow="0" w:firstColumn="1" w:lastColumn="0" w:noHBand="0" w:noVBand="1"/>
      </w:tblPr>
      <w:tblGrid>
        <w:gridCol w:w="1178"/>
        <w:gridCol w:w="2276"/>
        <w:gridCol w:w="2002"/>
        <w:gridCol w:w="1138"/>
        <w:gridCol w:w="992"/>
        <w:gridCol w:w="1543"/>
        <w:gridCol w:w="16"/>
      </w:tblGrid>
      <w:tr w:rsidR="00CF63F4" w:rsidRPr="00CF63F4" w:rsidTr="002A7815">
        <w:trPr>
          <w:trHeight w:val="307"/>
        </w:trPr>
        <w:tc>
          <w:tcPr>
            <w:tcW w:w="1178"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CF63F4" w:rsidRPr="002D08EE" w:rsidRDefault="00CF63F4">
            <w:pPr>
              <w:jc w:val="center"/>
              <w:rPr>
                <w:rFonts w:asciiTheme="minorHAnsi" w:hAnsiTheme="minorHAnsi"/>
                <w:color w:val="000000"/>
                <w:sz w:val="22"/>
                <w:szCs w:val="22"/>
              </w:rPr>
            </w:pPr>
            <w:r w:rsidRPr="002D08EE">
              <w:rPr>
                <w:rFonts w:asciiTheme="minorHAnsi" w:hAnsiTheme="minorHAnsi"/>
                <w:color w:val="000000"/>
                <w:sz w:val="22"/>
                <w:szCs w:val="22"/>
              </w:rPr>
              <w:lastRenderedPageBreak/>
              <w:t>Organizácia štátnej správy</w:t>
            </w:r>
          </w:p>
        </w:tc>
        <w:tc>
          <w:tcPr>
            <w:tcW w:w="5416" w:type="dxa"/>
            <w:gridSpan w:val="3"/>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Celkové oprávnené výdavky</w:t>
            </w:r>
          </w:p>
        </w:tc>
        <w:tc>
          <w:tcPr>
            <w:tcW w:w="992" w:type="dxa"/>
            <w:vMerge w:val="restar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proofErr w:type="spellStart"/>
            <w:r w:rsidRPr="002D08EE">
              <w:rPr>
                <w:rFonts w:asciiTheme="minorHAnsi" w:hAnsiTheme="minorHAnsi"/>
                <w:color w:val="000000"/>
                <w:sz w:val="22"/>
                <w:szCs w:val="22"/>
              </w:rPr>
              <w:t>Pro</w:t>
            </w:r>
            <w:proofErr w:type="spellEnd"/>
            <w:r w:rsidRPr="002D08EE">
              <w:rPr>
                <w:rFonts w:asciiTheme="minorHAnsi" w:hAnsiTheme="minorHAnsi"/>
                <w:color w:val="000000"/>
                <w:sz w:val="22"/>
                <w:szCs w:val="22"/>
              </w:rPr>
              <w:t xml:space="preserve"> rata</w:t>
            </w:r>
          </w:p>
        </w:tc>
        <w:tc>
          <w:tcPr>
            <w:tcW w:w="1543" w:type="dxa"/>
            <w:vMerge w:val="restar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Spolu</w:t>
            </w:r>
          </w:p>
        </w:tc>
        <w:tc>
          <w:tcPr>
            <w:tcW w:w="16"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276" w:type="dxa"/>
            <w:vMerge w:val="restart"/>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Zdroj EÚ</w:t>
            </w:r>
          </w:p>
        </w:tc>
        <w:tc>
          <w:tcPr>
            <w:tcW w:w="3140" w:type="dxa"/>
            <w:gridSpan w:val="2"/>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Národné zdroje</w:t>
            </w:r>
          </w:p>
        </w:tc>
        <w:tc>
          <w:tcPr>
            <w:tcW w:w="992"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543"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6"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276"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00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Štátny rozpočet</w:t>
            </w:r>
          </w:p>
        </w:tc>
        <w:tc>
          <w:tcPr>
            <w:tcW w:w="113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Prijímateľ</w:t>
            </w:r>
          </w:p>
        </w:tc>
        <w:tc>
          <w:tcPr>
            <w:tcW w:w="992"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543"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6"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125"/>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276"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002"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138"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992"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543"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6"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FF0000"/>
                <w:sz w:val="22"/>
                <w:szCs w:val="22"/>
              </w:rPr>
            </w:pPr>
            <w:r w:rsidRPr="002D08EE">
              <w:rPr>
                <w:rFonts w:asciiTheme="minorHAnsi" w:hAnsiTheme="minorHAnsi"/>
                <w:sz w:val="22"/>
                <w:szCs w:val="22"/>
              </w:rPr>
              <w:t>82,06%</w:t>
            </w:r>
          </w:p>
        </w:tc>
        <w:tc>
          <w:tcPr>
            <w:tcW w:w="2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sz w:val="22"/>
                <w:szCs w:val="22"/>
              </w:rPr>
              <w:t>14,49%</w:t>
            </w:r>
          </w:p>
        </w:tc>
        <w:tc>
          <w:tcPr>
            <w:tcW w:w="113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0,00%</w:t>
            </w:r>
          </w:p>
        </w:tc>
        <w:tc>
          <w:tcPr>
            <w:tcW w:w="9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3,45%</w:t>
            </w:r>
          </w:p>
        </w:tc>
        <w:tc>
          <w:tcPr>
            <w:tcW w:w="154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100,00%</w:t>
            </w:r>
          </w:p>
        </w:tc>
        <w:tc>
          <w:tcPr>
            <w:tcW w:w="16"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427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(96,55 % zo 100,00 %)</w:t>
            </w:r>
          </w:p>
        </w:tc>
        <w:tc>
          <w:tcPr>
            <w:tcW w:w="1138"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992"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543"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6" w:type="dxa"/>
            <w:vAlign w:val="center"/>
            <w:hideMark/>
          </w:tcPr>
          <w:p w:rsidR="00CF63F4" w:rsidRPr="002D08EE" w:rsidRDefault="00CF63F4" w:rsidP="002A7815">
            <w:pPr>
              <w:rPr>
                <w:rFonts w:asciiTheme="minorHAnsi" w:hAnsiTheme="minorHAnsi"/>
                <w:sz w:val="22"/>
                <w:szCs w:val="22"/>
              </w:rPr>
            </w:pPr>
          </w:p>
        </w:tc>
      </w:tr>
      <w:tr w:rsidR="00CF63F4" w:rsidRPr="00CF63F4" w:rsidTr="007775EB">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(85,00 % z 96,55 %)</w:t>
            </w:r>
          </w:p>
        </w:tc>
        <w:tc>
          <w:tcPr>
            <w:tcW w:w="2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pPr>
              <w:jc w:val="center"/>
              <w:rPr>
                <w:rFonts w:asciiTheme="minorHAnsi" w:hAnsiTheme="minorHAnsi"/>
                <w:color w:val="000000"/>
                <w:sz w:val="22"/>
                <w:szCs w:val="22"/>
              </w:rPr>
            </w:pPr>
            <w:r w:rsidRPr="002D08EE">
              <w:rPr>
                <w:rFonts w:asciiTheme="minorHAnsi" w:hAnsiTheme="minorHAnsi"/>
                <w:color w:val="000000"/>
                <w:sz w:val="22"/>
                <w:szCs w:val="22"/>
              </w:rPr>
              <w:t>(15,00 % z 96,55 %)</w:t>
            </w:r>
          </w:p>
        </w:tc>
        <w:tc>
          <w:tcPr>
            <w:tcW w:w="1138"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(3,45 % zo 100,00 %)</w:t>
            </w:r>
          </w:p>
        </w:tc>
        <w:tc>
          <w:tcPr>
            <w:tcW w:w="1543"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6" w:type="dxa"/>
            <w:vAlign w:val="center"/>
            <w:hideMark/>
          </w:tcPr>
          <w:p w:rsidR="00CF63F4" w:rsidRPr="002D08EE" w:rsidRDefault="00CF63F4" w:rsidP="002A7815">
            <w:pPr>
              <w:rPr>
                <w:rFonts w:asciiTheme="minorHAnsi" w:hAnsiTheme="minorHAnsi"/>
                <w:sz w:val="22"/>
                <w:szCs w:val="22"/>
              </w:rPr>
            </w:pPr>
          </w:p>
        </w:tc>
      </w:tr>
    </w:tbl>
    <w:p w:rsidR="00EA7C0C" w:rsidRPr="00220D59" w:rsidRDefault="00EA7C0C" w:rsidP="00EA7C0C">
      <w:pPr>
        <w:pStyle w:val="Odsekzoznamu"/>
        <w:numPr>
          <w:ilvl w:val="0"/>
          <w:numId w:val="19"/>
        </w:numPr>
        <w:spacing w:before="240" w:after="240"/>
        <w:jc w:val="both"/>
        <w:rPr>
          <w:rFonts w:ascii="Calibri" w:eastAsia="Calibri" w:hAnsi="Calibri"/>
          <w:sz w:val="22"/>
          <w:szCs w:val="22"/>
          <w:lang w:eastAsia="en-US"/>
        </w:rPr>
      </w:pPr>
      <w:r w:rsidRPr="00220D59">
        <w:rPr>
          <w:rFonts w:ascii="Calibri" w:eastAsia="Calibri" w:hAnsi="Calibri"/>
          <w:b/>
          <w:sz w:val="22"/>
          <w:szCs w:val="22"/>
          <w:lang w:eastAsia="en-US"/>
        </w:rPr>
        <w:t>3,45 %</w:t>
      </w:r>
      <w:r w:rsidRPr="00220D59">
        <w:rPr>
          <w:rFonts w:ascii="Calibri" w:eastAsia="Calibri" w:hAnsi="Calibri"/>
          <w:sz w:val="22"/>
          <w:szCs w:val="22"/>
          <w:lang w:eastAsia="en-US"/>
        </w:rPr>
        <w:t xml:space="preserve"> z celkových oprávnených výdavkov tvorí financovanie „</w:t>
      </w:r>
      <w:proofErr w:type="spellStart"/>
      <w:r w:rsidRPr="00220D59">
        <w:rPr>
          <w:rFonts w:ascii="Calibri" w:eastAsia="Calibri" w:hAnsi="Calibri"/>
          <w:sz w:val="22"/>
          <w:szCs w:val="22"/>
          <w:lang w:eastAsia="en-US"/>
        </w:rPr>
        <w:t>pro</w:t>
      </w:r>
      <w:proofErr w:type="spellEnd"/>
      <w:r w:rsidRPr="00220D59">
        <w:rPr>
          <w:rFonts w:ascii="Calibri" w:eastAsia="Calibri" w:hAnsi="Calibri"/>
          <w:sz w:val="22"/>
          <w:szCs w:val="22"/>
          <w:lang w:eastAsia="en-US"/>
        </w:rPr>
        <w:t xml:space="preserve"> rata“ zo zdrojov štátneho rozpočtu. Keďže v operačnom programe Technická pomoc sú alokované prostriedky iba pre</w:t>
      </w:r>
      <w:r>
        <w:rPr>
          <w:rFonts w:ascii="Calibri" w:eastAsia="Calibri" w:hAnsi="Calibri"/>
          <w:sz w:val="22"/>
          <w:szCs w:val="22"/>
          <w:lang w:eastAsia="en-US"/>
        </w:rPr>
        <w:t> </w:t>
      </w:r>
      <w:r w:rsidRPr="00220D59">
        <w:rPr>
          <w:rFonts w:ascii="Calibri" w:eastAsia="Calibri" w:hAnsi="Calibri"/>
          <w:sz w:val="22"/>
          <w:szCs w:val="22"/>
          <w:lang w:eastAsia="en-US"/>
        </w:rPr>
        <w:t>kategóriu „menej rozvinutý región“, tieto prostriedky boli doplnené (vzhľadom na</w:t>
      </w:r>
      <w:r>
        <w:rPr>
          <w:rFonts w:ascii="Calibri" w:eastAsia="Calibri" w:hAnsi="Calibri"/>
          <w:sz w:val="22"/>
          <w:szCs w:val="22"/>
          <w:lang w:eastAsia="en-US"/>
        </w:rPr>
        <w:t> </w:t>
      </w:r>
      <w:r w:rsidRPr="00220D59">
        <w:rPr>
          <w:rFonts w:ascii="Calibri" w:eastAsia="Calibri" w:hAnsi="Calibri"/>
          <w:sz w:val="22"/>
          <w:szCs w:val="22"/>
          <w:lang w:eastAsia="en-US"/>
        </w:rPr>
        <w:t>horizontálny a celoplošný charakter aktivít operačného programu) s cieľom podporiť rozvinutejšie regióny formou „</w:t>
      </w:r>
      <w:proofErr w:type="spellStart"/>
      <w:r w:rsidRPr="00220D59">
        <w:rPr>
          <w:rFonts w:ascii="Calibri" w:eastAsia="Calibri" w:hAnsi="Calibri"/>
          <w:sz w:val="22"/>
          <w:szCs w:val="22"/>
          <w:lang w:eastAsia="en-US"/>
        </w:rPr>
        <w:t>pro</w:t>
      </w:r>
      <w:proofErr w:type="spellEnd"/>
      <w:r w:rsidRPr="00220D59">
        <w:rPr>
          <w:rFonts w:ascii="Calibri" w:eastAsia="Calibri" w:hAnsi="Calibri"/>
          <w:sz w:val="22"/>
          <w:szCs w:val="22"/>
          <w:lang w:eastAsia="en-US"/>
        </w:rPr>
        <w:t xml:space="preserve"> rata“;</w:t>
      </w:r>
    </w:p>
    <w:p w:rsidR="00EA7C0C" w:rsidRPr="00DB4816" w:rsidRDefault="00EA7C0C" w:rsidP="00EA7C0C">
      <w:pPr>
        <w:pStyle w:val="Odsekzoznamu"/>
        <w:numPr>
          <w:ilvl w:val="0"/>
          <w:numId w:val="19"/>
        </w:numPr>
        <w:spacing w:before="240" w:after="240"/>
        <w:jc w:val="both"/>
        <w:rPr>
          <w:rFonts w:asciiTheme="minorHAnsi" w:eastAsia="Calibri" w:hAnsiTheme="minorHAnsi"/>
          <w:sz w:val="22"/>
          <w:szCs w:val="22"/>
          <w:lang w:eastAsia="en-US"/>
        </w:rPr>
      </w:pPr>
      <w:r w:rsidRPr="00220D59">
        <w:rPr>
          <w:rFonts w:ascii="Calibri" w:eastAsia="Calibri" w:hAnsi="Calibri"/>
          <w:b/>
          <w:sz w:val="22"/>
          <w:szCs w:val="22"/>
          <w:lang w:eastAsia="en-US"/>
        </w:rPr>
        <w:t>85 %</w:t>
      </w:r>
      <w:r w:rsidRPr="00220D59">
        <w:rPr>
          <w:rFonts w:ascii="Calibri" w:eastAsia="Calibri" w:hAnsi="Calibri"/>
          <w:sz w:val="22"/>
          <w:szCs w:val="22"/>
          <w:lang w:eastAsia="en-US"/>
        </w:rPr>
        <w:t xml:space="preserve"> z celkových oprávnených výdavkov bez zdrojov „</w:t>
      </w:r>
      <w:proofErr w:type="spellStart"/>
      <w:r w:rsidRPr="00220D59">
        <w:rPr>
          <w:rFonts w:ascii="Calibri" w:eastAsia="Calibri" w:hAnsi="Calibri"/>
          <w:sz w:val="22"/>
          <w:szCs w:val="22"/>
          <w:lang w:eastAsia="en-US"/>
        </w:rPr>
        <w:t>pro</w:t>
      </w:r>
      <w:proofErr w:type="spellEnd"/>
      <w:r w:rsidRPr="00220D59">
        <w:rPr>
          <w:rFonts w:ascii="Calibri" w:eastAsia="Calibri" w:hAnsi="Calibri"/>
          <w:sz w:val="22"/>
          <w:szCs w:val="22"/>
          <w:lang w:eastAsia="en-US"/>
        </w:rPr>
        <w:t xml:space="preserve"> rata“ tvorí výška pomoci z </w:t>
      </w:r>
      <w:r w:rsidRPr="00DB4816">
        <w:rPr>
          <w:rFonts w:asciiTheme="minorHAnsi" w:eastAsia="Calibri" w:hAnsiTheme="minorHAnsi"/>
          <w:sz w:val="22"/>
          <w:szCs w:val="22"/>
          <w:lang w:eastAsia="en-US"/>
        </w:rPr>
        <w:t>Európskeho fondu regionálneho rozvoja</w:t>
      </w:r>
      <w:r>
        <w:rPr>
          <w:rFonts w:asciiTheme="minorHAnsi" w:eastAsia="Calibri" w:hAnsiTheme="minorHAnsi"/>
          <w:sz w:val="22"/>
          <w:szCs w:val="22"/>
          <w:lang w:eastAsia="en-US"/>
        </w:rPr>
        <w:t>.</w:t>
      </w:r>
    </w:p>
    <w:p w:rsidR="00EA7C0C" w:rsidRPr="002D08EE" w:rsidRDefault="00EA7C0C" w:rsidP="00EA7C0C">
      <w:pPr>
        <w:spacing w:before="240" w:after="240"/>
        <w:ind w:firstLine="360"/>
        <w:jc w:val="both"/>
        <w:rPr>
          <w:rFonts w:asciiTheme="minorHAnsi" w:hAnsiTheme="minorHAnsi"/>
          <w:sz w:val="22"/>
          <w:szCs w:val="22"/>
        </w:rPr>
      </w:pPr>
      <w:r w:rsidRPr="002D08EE">
        <w:rPr>
          <w:rFonts w:asciiTheme="minorHAnsi" w:hAnsiTheme="minorHAnsi"/>
          <w:sz w:val="22"/>
          <w:szCs w:val="22"/>
        </w:rPr>
        <w:t>Zdroje štátneho rozpočtu</w:t>
      </w:r>
      <w:r>
        <w:rPr>
          <w:rFonts w:asciiTheme="minorHAnsi" w:hAnsiTheme="minorHAnsi"/>
          <w:sz w:val="22"/>
          <w:szCs w:val="22"/>
        </w:rPr>
        <w:t xml:space="preserve"> tvoria</w:t>
      </w:r>
      <w:r w:rsidRPr="002D08EE">
        <w:rPr>
          <w:rFonts w:asciiTheme="minorHAnsi" w:hAnsiTheme="minorHAnsi"/>
          <w:sz w:val="22"/>
          <w:szCs w:val="22"/>
        </w:rPr>
        <w:t>:</w:t>
      </w:r>
    </w:p>
    <w:p w:rsidR="00EA7C0C" w:rsidRPr="002D08EE" w:rsidRDefault="00EA7C0C" w:rsidP="00EA7C0C">
      <w:pPr>
        <w:pStyle w:val="Odsekzoznamu"/>
        <w:numPr>
          <w:ilvl w:val="0"/>
          <w:numId w:val="19"/>
        </w:numPr>
        <w:spacing w:after="120" w:line="276" w:lineRule="auto"/>
        <w:jc w:val="both"/>
        <w:rPr>
          <w:rFonts w:ascii="Calibri" w:eastAsia="Calibri" w:hAnsi="Calibri"/>
          <w:sz w:val="22"/>
          <w:szCs w:val="22"/>
          <w:lang w:eastAsia="en-US"/>
        </w:rPr>
      </w:pPr>
      <w:r w:rsidRPr="002D08EE">
        <w:rPr>
          <w:rFonts w:ascii="Calibri" w:eastAsia="Calibri" w:hAnsi="Calibri"/>
          <w:b/>
          <w:sz w:val="22"/>
          <w:szCs w:val="22"/>
          <w:lang w:eastAsia="en-US"/>
        </w:rPr>
        <w:t xml:space="preserve">15 % </w:t>
      </w:r>
      <w:r w:rsidRPr="002D08EE">
        <w:rPr>
          <w:rFonts w:ascii="Calibri" w:eastAsia="Calibri" w:hAnsi="Calibri"/>
          <w:sz w:val="22"/>
          <w:szCs w:val="22"/>
          <w:lang w:eastAsia="en-US"/>
        </w:rPr>
        <w:t>z celkových oprávnených výdavkov bez zdrojov „</w:t>
      </w:r>
      <w:proofErr w:type="spellStart"/>
      <w:r w:rsidRPr="002D08EE">
        <w:rPr>
          <w:rFonts w:ascii="Calibri" w:eastAsia="Calibri" w:hAnsi="Calibri"/>
          <w:sz w:val="22"/>
          <w:szCs w:val="22"/>
          <w:lang w:eastAsia="en-US"/>
        </w:rPr>
        <w:t>pro</w:t>
      </w:r>
      <w:proofErr w:type="spellEnd"/>
      <w:r w:rsidRPr="002D08EE">
        <w:rPr>
          <w:rFonts w:ascii="Calibri" w:eastAsia="Calibri" w:hAnsi="Calibri"/>
          <w:sz w:val="22"/>
          <w:szCs w:val="22"/>
          <w:lang w:eastAsia="en-US"/>
        </w:rPr>
        <w:t xml:space="preserve"> rata“ tvorí príspevok zo štátneho rozpočtu</w:t>
      </w:r>
      <w:r>
        <w:rPr>
          <w:rFonts w:ascii="Calibri" w:eastAsia="Calibri" w:hAnsi="Calibri"/>
          <w:sz w:val="22"/>
          <w:szCs w:val="22"/>
          <w:lang w:eastAsia="en-US"/>
        </w:rPr>
        <w:t>.</w:t>
      </w:r>
    </w:p>
    <w:p w:rsidR="00CF63F4" w:rsidRPr="002D08EE" w:rsidRDefault="00CF63F4" w:rsidP="00CF63F4">
      <w:pPr>
        <w:rPr>
          <w:rFonts w:asciiTheme="minorHAnsi" w:hAnsiTheme="minorHAnsi"/>
          <w:color w:val="1F497D"/>
          <w:sz w:val="22"/>
          <w:szCs w:val="22"/>
        </w:rPr>
      </w:pPr>
    </w:p>
    <w:p w:rsidR="00CF63F4" w:rsidRDefault="00CF63F4" w:rsidP="00CF63F4">
      <w:pPr>
        <w:pStyle w:val="Odsekzoznamu"/>
        <w:numPr>
          <w:ilvl w:val="0"/>
          <w:numId w:val="22"/>
        </w:numPr>
        <w:spacing w:before="240" w:after="240"/>
        <w:ind w:left="284" w:hanging="284"/>
        <w:jc w:val="both"/>
        <w:rPr>
          <w:rFonts w:asciiTheme="minorHAnsi" w:hAnsiTheme="minorHAnsi"/>
          <w:sz w:val="22"/>
          <w:szCs w:val="22"/>
        </w:rPr>
      </w:pPr>
      <w:r>
        <w:rPr>
          <w:rFonts w:asciiTheme="minorHAnsi" w:hAnsiTheme="minorHAnsi"/>
          <w:sz w:val="22"/>
          <w:szCs w:val="22"/>
        </w:rPr>
        <w:t>partner</w:t>
      </w:r>
      <w:r w:rsidRPr="007B1092">
        <w:rPr>
          <w:rFonts w:asciiTheme="minorHAnsi" w:hAnsiTheme="minorHAnsi"/>
          <w:sz w:val="22"/>
          <w:szCs w:val="22"/>
        </w:rPr>
        <w:t xml:space="preserve"> –</w:t>
      </w:r>
      <w:r>
        <w:rPr>
          <w:rFonts w:asciiTheme="minorHAnsi" w:hAnsiTheme="minorHAnsi"/>
          <w:sz w:val="22"/>
          <w:szCs w:val="22"/>
        </w:rPr>
        <w:t xml:space="preserve"> </w:t>
      </w:r>
      <w:r w:rsidR="00EA7C0C" w:rsidRPr="007B1092">
        <w:rPr>
          <w:rFonts w:asciiTheme="minorHAnsi" w:hAnsiTheme="minorHAnsi"/>
          <w:sz w:val="22"/>
          <w:szCs w:val="22"/>
        </w:rPr>
        <w:t>organizácia štátnej správy</w:t>
      </w:r>
      <w:r w:rsidR="00EA7C0C">
        <w:rPr>
          <w:rFonts w:asciiTheme="minorHAnsi" w:hAnsiTheme="minorHAnsi"/>
          <w:sz w:val="22"/>
          <w:szCs w:val="22"/>
        </w:rPr>
        <w:t xml:space="preserve"> </w:t>
      </w:r>
      <w:r w:rsidR="00EA7C0C" w:rsidRPr="007B1092">
        <w:rPr>
          <w:rFonts w:asciiTheme="minorHAnsi" w:hAnsiTheme="minorHAnsi"/>
          <w:sz w:val="22"/>
          <w:szCs w:val="22"/>
        </w:rPr>
        <w:t>(časť 3.2.1.1 Stratégie financovania Európskych štrukturálnych a investičných fondov pre programové obdobie 2014 – 2020)</w:t>
      </w:r>
      <w:r w:rsidR="00EA7C0C">
        <w:rPr>
          <w:rFonts w:asciiTheme="minorHAnsi" w:hAnsiTheme="minorHAnsi"/>
          <w:sz w:val="22"/>
          <w:szCs w:val="22"/>
        </w:rPr>
        <w:t xml:space="preserve"> a </w:t>
      </w:r>
      <w:r w:rsidR="00A86C8C" w:rsidRPr="002F2777">
        <w:rPr>
          <w:rFonts w:asciiTheme="minorHAnsi" w:hAnsiTheme="minorHAnsi"/>
          <w:sz w:val="22"/>
          <w:szCs w:val="22"/>
        </w:rPr>
        <w:t>ostatné subjekty verejnej správy</w:t>
      </w:r>
      <w:r w:rsidR="00A86C8C">
        <w:rPr>
          <w:rFonts w:asciiTheme="minorHAnsi" w:hAnsiTheme="minorHAnsi"/>
          <w:sz w:val="22"/>
          <w:szCs w:val="22"/>
        </w:rPr>
        <w:t xml:space="preserve"> </w:t>
      </w:r>
      <w:r w:rsidR="00A86C8C" w:rsidRPr="007B1092">
        <w:rPr>
          <w:rFonts w:asciiTheme="minorHAnsi" w:hAnsiTheme="minorHAnsi"/>
          <w:sz w:val="22"/>
          <w:szCs w:val="22"/>
        </w:rPr>
        <w:t xml:space="preserve"> </w:t>
      </w:r>
      <w:r w:rsidRPr="007B1092">
        <w:rPr>
          <w:rFonts w:asciiTheme="minorHAnsi" w:hAnsiTheme="minorHAnsi"/>
          <w:sz w:val="22"/>
          <w:szCs w:val="22"/>
        </w:rPr>
        <w:t>(časť 3.2.1.3 Stratégie financovania Európskych štrukturálnych a investičných fondov pre programové obdobie 2014 – 2020)</w:t>
      </w:r>
    </w:p>
    <w:tbl>
      <w:tblPr>
        <w:tblW w:w="9145" w:type="dxa"/>
        <w:tblInd w:w="-3" w:type="dxa"/>
        <w:tblCellMar>
          <w:left w:w="0" w:type="dxa"/>
          <w:right w:w="0" w:type="dxa"/>
        </w:tblCellMar>
        <w:tblLook w:val="04A0" w:firstRow="1" w:lastRow="0" w:firstColumn="1" w:lastColumn="0" w:noHBand="0" w:noVBand="1"/>
      </w:tblPr>
      <w:tblGrid>
        <w:gridCol w:w="1178"/>
        <w:gridCol w:w="2276"/>
        <w:gridCol w:w="2002"/>
        <w:gridCol w:w="1138"/>
        <w:gridCol w:w="992"/>
        <w:gridCol w:w="1543"/>
        <w:gridCol w:w="16"/>
      </w:tblGrid>
      <w:tr w:rsidR="00EA7C0C" w:rsidRPr="00CF63F4" w:rsidTr="005A1282">
        <w:trPr>
          <w:trHeight w:val="307"/>
        </w:trPr>
        <w:tc>
          <w:tcPr>
            <w:tcW w:w="1178"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Pr>
                <w:rFonts w:asciiTheme="minorHAnsi" w:hAnsiTheme="minorHAnsi"/>
                <w:color w:val="000000"/>
                <w:sz w:val="22"/>
                <w:szCs w:val="22"/>
              </w:rPr>
              <w:t>štátna vysoká škola</w:t>
            </w:r>
          </w:p>
        </w:tc>
        <w:tc>
          <w:tcPr>
            <w:tcW w:w="5416" w:type="dxa"/>
            <w:gridSpan w:val="3"/>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Celkové oprávnené výdavky</w:t>
            </w:r>
          </w:p>
        </w:tc>
        <w:tc>
          <w:tcPr>
            <w:tcW w:w="992" w:type="dxa"/>
            <w:vMerge w:val="restar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proofErr w:type="spellStart"/>
            <w:r w:rsidRPr="002D08EE">
              <w:rPr>
                <w:rFonts w:asciiTheme="minorHAnsi" w:hAnsiTheme="minorHAnsi"/>
                <w:color w:val="000000"/>
                <w:sz w:val="22"/>
                <w:szCs w:val="22"/>
              </w:rPr>
              <w:t>Pro</w:t>
            </w:r>
            <w:proofErr w:type="spellEnd"/>
            <w:r w:rsidRPr="002D08EE">
              <w:rPr>
                <w:rFonts w:asciiTheme="minorHAnsi" w:hAnsiTheme="minorHAnsi"/>
                <w:color w:val="000000"/>
                <w:sz w:val="22"/>
                <w:szCs w:val="22"/>
              </w:rPr>
              <w:t xml:space="preserve"> rata</w:t>
            </w:r>
          </w:p>
        </w:tc>
        <w:tc>
          <w:tcPr>
            <w:tcW w:w="1543" w:type="dxa"/>
            <w:vMerge w:val="restar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Spolu</w:t>
            </w:r>
          </w:p>
        </w:tc>
        <w:tc>
          <w:tcPr>
            <w:tcW w:w="16" w:type="dxa"/>
            <w:vAlign w:val="center"/>
            <w:hideMark/>
          </w:tcPr>
          <w:p w:rsidR="00EA7C0C" w:rsidRPr="002D08EE" w:rsidRDefault="00EA7C0C" w:rsidP="005A1282">
            <w:pPr>
              <w:rPr>
                <w:rFonts w:asciiTheme="minorHAnsi" w:hAnsiTheme="minorHAnsi"/>
                <w:sz w:val="22"/>
                <w:szCs w:val="22"/>
              </w:rPr>
            </w:pPr>
          </w:p>
        </w:tc>
      </w:tr>
      <w:tr w:rsidR="00EA7C0C" w:rsidRPr="00CF63F4" w:rsidTr="005A1282">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2276" w:type="dxa"/>
            <w:vMerge w:val="restart"/>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Zdroj EÚ</w:t>
            </w:r>
          </w:p>
        </w:tc>
        <w:tc>
          <w:tcPr>
            <w:tcW w:w="3140" w:type="dxa"/>
            <w:gridSpan w:val="2"/>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Národné zdroje</w:t>
            </w:r>
          </w:p>
        </w:tc>
        <w:tc>
          <w:tcPr>
            <w:tcW w:w="992" w:type="dxa"/>
            <w:vMerge/>
            <w:tcBorders>
              <w:top w:val="single" w:sz="8" w:space="0" w:color="auto"/>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543" w:type="dxa"/>
            <w:vMerge/>
            <w:tcBorders>
              <w:top w:val="single" w:sz="8" w:space="0" w:color="auto"/>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6" w:type="dxa"/>
            <w:vAlign w:val="center"/>
            <w:hideMark/>
          </w:tcPr>
          <w:p w:rsidR="00EA7C0C" w:rsidRPr="002D08EE" w:rsidRDefault="00EA7C0C" w:rsidP="005A1282">
            <w:pPr>
              <w:rPr>
                <w:rFonts w:asciiTheme="minorHAnsi" w:hAnsiTheme="minorHAnsi"/>
                <w:sz w:val="22"/>
                <w:szCs w:val="22"/>
              </w:rPr>
            </w:pPr>
          </w:p>
        </w:tc>
      </w:tr>
      <w:tr w:rsidR="00EA7C0C" w:rsidRPr="00CF63F4" w:rsidTr="005A1282">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2276" w:type="dxa"/>
            <w:vMerge/>
            <w:tcBorders>
              <w:top w:val="nil"/>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200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Štátny rozpočet</w:t>
            </w:r>
          </w:p>
        </w:tc>
        <w:tc>
          <w:tcPr>
            <w:tcW w:w="113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Prijímateľ</w:t>
            </w:r>
          </w:p>
        </w:tc>
        <w:tc>
          <w:tcPr>
            <w:tcW w:w="992" w:type="dxa"/>
            <w:vMerge/>
            <w:tcBorders>
              <w:top w:val="single" w:sz="8" w:space="0" w:color="auto"/>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543" w:type="dxa"/>
            <w:vMerge/>
            <w:tcBorders>
              <w:top w:val="single" w:sz="8" w:space="0" w:color="auto"/>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6" w:type="dxa"/>
            <w:vAlign w:val="center"/>
            <w:hideMark/>
          </w:tcPr>
          <w:p w:rsidR="00EA7C0C" w:rsidRPr="002D08EE" w:rsidRDefault="00EA7C0C" w:rsidP="005A1282">
            <w:pPr>
              <w:rPr>
                <w:rFonts w:asciiTheme="minorHAnsi" w:hAnsiTheme="minorHAnsi"/>
                <w:sz w:val="22"/>
                <w:szCs w:val="22"/>
              </w:rPr>
            </w:pPr>
          </w:p>
        </w:tc>
      </w:tr>
      <w:tr w:rsidR="00EA7C0C" w:rsidRPr="00CF63F4" w:rsidTr="005A1282">
        <w:trPr>
          <w:trHeight w:val="125"/>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2276" w:type="dxa"/>
            <w:vMerge/>
            <w:tcBorders>
              <w:top w:val="nil"/>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2002" w:type="dxa"/>
            <w:vMerge/>
            <w:tcBorders>
              <w:top w:val="nil"/>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138" w:type="dxa"/>
            <w:vMerge/>
            <w:tcBorders>
              <w:top w:val="nil"/>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992" w:type="dxa"/>
            <w:vMerge/>
            <w:tcBorders>
              <w:top w:val="single" w:sz="8" w:space="0" w:color="auto"/>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543" w:type="dxa"/>
            <w:vMerge/>
            <w:tcBorders>
              <w:top w:val="single" w:sz="8" w:space="0" w:color="auto"/>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6" w:type="dxa"/>
            <w:vAlign w:val="center"/>
            <w:hideMark/>
          </w:tcPr>
          <w:p w:rsidR="00EA7C0C" w:rsidRPr="002D08EE" w:rsidRDefault="00EA7C0C" w:rsidP="005A1282">
            <w:pPr>
              <w:rPr>
                <w:rFonts w:asciiTheme="minorHAnsi" w:hAnsiTheme="minorHAnsi"/>
                <w:sz w:val="22"/>
                <w:szCs w:val="22"/>
              </w:rPr>
            </w:pPr>
          </w:p>
        </w:tc>
      </w:tr>
      <w:tr w:rsidR="00EA7C0C" w:rsidRPr="00CF63F4" w:rsidTr="005A1282">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2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FF0000"/>
                <w:sz w:val="22"/>
                <w:szCs w:val="22"/>
              </w:rPr>
            </w:pPr>
            <w:r w:rsidRPr="002D08EE">
              <w:rPr>
                <w:rFonts w:asciiTheme="minorHAnsi" w:hAnsiTheme="minorHAnsi"/>
                <w:sz w:val="22"/>
                <w:szCs w:val="22"/>
              </w:rPr>
              <w:t>82,06%</w:t>
            </w:r>
          </w:p>
        </w:tc>
        <w:tc>
          <w:tcPr>
            <w:tcW w:w="20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sz w:val="22"/>
                <w:szCs w:val="22"/>
              </w:rPr>
              <w:t>14,49%</w:t>
            </w:r>
          </w:p>
        </w:tc>
        <w:tc>
          <w:tcPr>
            <w:tcW w:w="1138"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0,00%</w:t>
            </w:r>
          </w:p>
        </w:tc>
        <w:tc>
          <w:tcPr>
            <w:tcW w:w="9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3,45%</w:t>
            </w:r>
          </w:p>
        </w:tc>
        <w:tc>
          <w:tcPr>
            <w:tcW w:w="154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100,00%</w:t>
            </w:r>
          </w:p>
        </w:tc>
        <w:tc>
          <w:tcPr>
            <w:tcW w:w="16" w:type="dxa"/>
            <w:vAlign w:val="center"/>
            <w:hideMark/>
          </w:tcPr>
          <w:p w:rsidR="00EA7C0C" w:rsidRPr="002D08EE" w:rsidRDefault="00EA7C0C" w:rsidP="005A1282">
            <w:pPr>
              <w:rPr>
                <w:rFonts w:asciiTheme="minorHAnsi" w:hAnsiTheme="minorHAnsi"/>
                <w:sz w:val="22"/>
                <w:szCs w:val="22"/>
              </w:rPr>
            </w:pPr>
          </w:p>
        </w:tc>
      </w:tr>
      <w:tr w:rsidR="00EA7C0C" w:rsidRPr="00CF63F4" w:rsidTr="005A1282">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4278"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(96,55 % zo 100,00 %)</w:t>
            </w:r>
          </w:p>
        </w:tc>
        <w:tc>
          <w:tcPr>
            <w:tcW w:w="1138" w:type="dxa"/>
            <w:vMerge/>
            <w:tcBorders>
              <w:top w:val="nil"/>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992" w:type="dxa"/>
            <w:vMerge/>
            <w:tcBorders>
              <w:top w:val="nil"/>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543" w:type="dxa"/>
            <w:vMerge/>
            <w:tcBorders>
              <w:top w:val="nil"/>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6" w:type="dxa"/>
            <w:vAlign w:val="center"/>
            <w:hideMark/>
          </w:tcPr>
          <w:p w:rsidR="00EA7C0C" w:rsidRPr="002D08EE" w:rsidRDefault="00EA7C0C" w:rsidP="005A1282">
            <w:pPr>
              <w:rPr>
                <w:rFonts w:asciiTheme="minorHAnsi" w:hAnsiTheme="minorHAnsi"/>
                <w:sz w:val="22"/>
                <w:szCs w:val="22"/>
              </w:rPr>
            </w:pPr>
          </w:p>
        </w:tc>
      </w:tr>
      <w:tr w:rsidR="00EA7C0C" w:rsidRPr="00CF63F4" w:rsidTr="005A1282">
        <w:trPr>
          <w:trHeight w:val="307"/>
        </w:trPr>
        <w:tc>
          <w:tcPr>
            <w:tcW w:w="1178" w:type="dxa"/>
            <w:vMerge/>
            <w:tcBorders>
              <w:top w:val="single" w:sz="8" w:space="0" w:color="auto"/>
              <w:left w:val="single" w:sz="8" w:space="0" w:color="auto"/>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2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(85,00 % z 96,55 %)</w:t>
            </w:r>
          </w:p>
        </w:tc>
        <w:tc>
          <w:tcPr>
            <w:tcW w:w="200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(15,00 % z 96,55 %)</w:t>
            </w:r>
          </w:p>
        </w:tc>
        <w:tc>
          <w:tcPr>
            <w:tcW w:w="1138" w:type="dxa"/>
            <w:vMerge/>
            <w:tcBorders>
              <w:top w:val="nil"/>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7C0C" w:rsidRPr="002D08EE" w:rsidRDefault="00EA7C0C" w:rsidP="005A1282">
            <w:pPr>
              <w:jc w:val="center"/>
              <w:rPr>
                <w:rFonts w:asciiTheme="minorHAnsi" w:hAnsiTheme="minorHAnsi"/>
                <w:color w:val="000000"/>
                <w:sz w:val="22"/>
                <w:szCs w:val="22"/>
              </w:rPr>
            </w:pPr>
            <w:r w:rsidRPr="002D08EE">
              <w:rPr>
                <w:rFonts w:asciiTheme="minorHAnsi" w:hAnsiTheme="minorHAnsi"/>
                <w:color w:val="000000"/>
                <w:sz w:val="22"/>
                <w:szCs w:val="22"/>
              </w:rPr>
              <w:t>(3,45 % zo 100,00 %)</w:t>
            </w:r>
          </w:p>
        </w:tc>
        <w:tc>
          <w:tcPr>
            <w:tcW w:w="1543" w:type="dxa"/>
            <w:vMerge/>
            <w:tcBorders>
              <w:top w:val="nil"/>
              <w:left w:val="nil"/>
              <w:bottom w:val="single" w:sz="8" w:space="0" w:color="auto"/>
              <w:right w:val="single" w:sz="8" w:space="0" w:color="auto"/>
            </w:tcBorders>
            <w:vAlign w:val="center"/>
            <w:hideMark/>
          </w:tcPr>
          <w:p w:rsidR="00EA7C0C" w:rsidRPr="002D08EE" w:rsidRDefault="00EA7C0C" w:rsidP="005A1282">
            <w:pPr>
              <w:rPr>
                <w:rFonts w:asciiTheme="minorHAnsi" w:hAnsiTheme="minorHAnsi"/>
                <w:color w:val="000000"/>
                <w:sz w:val="22"/>
                <w:szCs w:val="22"/>
              </w:rPr>
            </w:pPr>
          </w:p>
        </w:tc>
        <w:tc>
          <w:tcPr>
            <w:tcW w:w="16" w:type="dxa"/>
            <w:vAlign w:val="center"/>
            <w:hideMark/>
          </w:tcPr>
          <w:p w:rsidR="00EA7C0C" w:rsidRPr="002D08EE" w:rsidRDefault="00EA7C0C" w:rsidP="005A1282">
            <w:pPr>
              <w:rPr>
                <w:rFonts w:asciiTheme="minorHAnsi" w:hAnsiTheme="minorHAnsi"/>
                <w:sz w:val="22"/>
                <w:szCs w:val="22"/>
              </w:rPr>
            </w:pPr>
          </w:p>
        </w:tc>
      </w:tr>
    </w:tbl>
    <w:p w:rsidR="00EA7C0C" w:rsidRPr="007775EB" w:rsidRDefault="00EA7C0C" w:rsidP="007775EB">
      <w:pPr>
        <w:spacing w:before="240" w:after="240"/>
        <w:jc w:val="both"/>
        <w:rPr>
          <w:rFonts w:asciiTheme="minorHAnsi" w:hAnsiTheme="minorHAnsi"/>
          <w:sz w:val="22"/>
          <w:szCs w:val="22"/>
        </w:rPr>
      </w:pPr>
    </w:p>
    <w:tbl>
      <w:tblPr>
        <w:tblW w:w="9784" w:type="dxa"/>
        <w:tblInd w:w="-3" w:type="dxa"/>
        <w:tblCellMar>
          <w:left w:w="0" w:type="dxa"/>
          <w:right w:w="0" w:type="dxa"/>
        </w:tblCellMar>
        <w:tblLook w:val="04A0" w:firstRow="1" w:lastRow="0" w:firstColumn="1" w:lastColumn="0" w:noHBand="0" w:noVBand="1"/>
      </w:tblPr>
      <w:tblGrid>
        <w:gridCol w:w="1207"/>
        <w:gridCol w:w="2194"/>
        <w:gridCol w:w="1917"/>
        <w:gridCol w:w="1134"/>
        <w:gridCol w:w="1134"/>
        <w:gridCol w:w="1559"/>
        <w:gridCol w:w="639"/>
      </w:tblGrid>
      <w:tr w:rsidR="00CF63F4" w:rsidRPr="00CF63F4" w:rsidTr="002A7815">
        <w:trPr>
          <w:trHeight w:val="300"/>
        </w:trPr>
        <w:tc>
          <w:tcPr>
            <w:tcW w:w="120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rsidR="00CF63F4" w:rsidRPr="002D08EE" w:rsidRDefault="00CF63F4">
            <w:pPr>
              <w:jc w:val="center"/>
              <w:rPr>
                <w:rFonts w:asciiTheme="minorHAnsi" w:hAnsiTheme="minorHAnsi"/>
                <w:color w:val="000000"/>
                <w:sz w:val="22"/>
                <w:szCs w:val="22"/>
              </w:rPr>
            </w:pPr>
            <w:r w:rsidRPr="002D08EE">
              <w:rPr>
                <w:rFonts w:asciiTheme="minorHAnsi" w:hAnsiTheme="minorHAnsi"/>
                <w:color w:val="000000"/>
                <w:sz w:val="22"/>
                <w:szCs w:val="22"/>
              </w:rPr>
              <w:t>Verejn</w:t>
            </w:r>
            <w:r w:rsidR="00CE3AFB">
              <w:rPr>
                <w:rFonts w:asciiTheme="minorHAnsi" w:hAnsiTheme="minorHAnsi"/>
                <w:color w:val="000000"/>
                <w:sz w:val="22"/>
                <w:szCs w:val="22"/>
              </w:rPr>
              <w:t>á</w:t>
            </w:r>
            <w:r w:rsidRPr="002D08EE">
              <w:rPr>
                <w:rFonts w:asciiTheme="minorHAnsi" w:hAnsiTheme="minorHAnsi"/>
                <w:color w:val="000000"/>
                <w:sz w:val="22"/>
                <w:szCs w:val="22"/>
              </w:rPr>
              <w:t xml:space="preserve"> vysok</w:t>
            </w:r>
            <w:r w:rsidR="00CE3AFB">
              <w:rPr>
                <w:rFonts w:asciiTheme="minorHAnsi" w:hAnsiTheme="minorHAnsi"/>
                <w:color w:val="000000"/>
                <w:sz w:val="22"/>
                <w:szCs w:val="22"/>
              </w:rPr>
              <w:t>á</w:t>
            </w:r>
            <w:r w:rsidRPr="002D08EE">
              <w:rPr>
                <w:rFonts w:asciiTheme="minorHAnsi" w:hAnsiTheme="minorHAnsi"/>
                <w:color w:val="000000"/>
                <w:sz w:val="22"/>
                <w:szCs w:val="22"/>
              </w:rPr>
              <w:t xml:space="preserve"> škol</w:t>
            </w:r>
            <w:r w:rsidR="00CE3AFB">
              <w:rPr>
                <w:rFonts w:asciiTheme="minorHAnsi" w:hAnsiTheme="minorHAnsi"/>
                <w:color w:val="000000"/>
                <w:sz w:val="22"/>
                <w:szCs w:val="22"/>
              </w:rPr>
              <w:t>a</w:t>
            </w:r>
          </w:p>
        </w:tc>
        <w:tc>
          <w:tcPr>
            <w:tcW w:w="5245" w:type="dxa"/>
            <w:gridSpan w:val="3"/>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Celkové oprávnené výdavky</w:t>
            </w:r>
          </w:p>
        </w:tc>
        <w:tc>
          <w:tcPr>
            <w:tcW w:w="1134" w:type="dxa"/>
            <w:vMerge w:val="restar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proofErr w:type="spellStart"/>
            <w:r w:rsidRPr="002D08EE">
              <w:rPr>
                <w:rFonts w:asciiTheme="minorHAnsi" w:hAnsiTheme="minorHAnsi"/>
                <w:color w:val="000000"/>
                <w:sz w:val="22"/>
                <w:szCs w:val="22"/>
              </w:rPr>
              <w:t>Pro</w:t>
            </w:r>
            <w:proofErr w:type="spellEnd"/>
            <w:r w:rsidRPr="002D08EE">
              <w:rPr>
                <w:rFonts w:asciiTheme="minorHAnsi" w:hAnsiTheme="minorHAnsi"/>
                <w:color w:val="000000"/>
                <w:sz w:val="22"/>
                <w:szCs w:val="22"/>
              </w:rPr>
              <w:t xml:space="preserve"> rata</w:t>
            </w:r>
          </w:p>
        </w:tc>
        <w:tc>
          <w:tcPr>
            <w:tcW w:w="1559" w:type="dxa"/>
            <w:vMerge w:val="restart"/>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Spolu</w:t>
            </w:r>
          </w:p>
        </w:tc>
        <w:tc>
          <w:tcPr>
            <w:tcW w:w="639"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300"/>
        </w:trPr>
        <w:tc>
          <w:tcPr>
            <w:tcW w:w="1207"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194" w:type="dxa"/>
            <w:vMerge w:val="restart"/>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Zdroj EÚ</w:t>
            </w:r>
          </w:p>
        </w:tc>
        <w:tc>
          <w:tcPr>
            <w:tcW w:w="3051" w:type="dxa"/>
            <w:gridSpan w:val="2"/>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Národné zdroje</w:t>
            </w:r>
          </w:p>
        </w:tc>
        <w:tc>
          <w:tcPr>
            <w:tcW w:w="1134"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559"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639"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300"/>
        </w:trPr>
        <w:tc>
          <w:tcPr>
            <w:tcW w:w="1207"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194"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917"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Štátny rozpočet</w:t>
            </w:r>
          </w:p>
        </w:tc>
        <w:tc>
          <w:tcPr>
            <w:tcW w:w="113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Prijímateľ</w:t>
            </w:r>
          </w:p>
        </w:tc>
        <w:tc>
          <w:tcPr>
            <w:tcW w:w="1134"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559"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639"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70"/>
        </w:trPr>
        <w:tc>
          <w:tcPr>
            <w:tcW w:w="1207"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194"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917"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134"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134"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559" w:type="dxa"/>
            <w:vMerge/>
            <w:tcBorders>
              <w:top w:val="single" w:sz="8" w:space="0" w:color="auto"/>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639"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300"/>
        </w:trPr>
        <w:tc>
          <w:tcPr>
            <w:tcW w:w="1207"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1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FF0000"/>
                <w:sz w:val="22"/>
                <w:szCs w:val="22"/>
              </w:rPr>
            </w:pPr>
            <w:r w:rsidRPr="002D08EE">
              <w:rPr>
                <w:rFonts w:asciiTheme="minorHAnsi" w:hAnsiTheme="minorHAnsi"/>
                <w:sz w:val="22"/>
                <w:szCs w:val="22"/>
              </w:rPr>
              <w:t>82,06%</w:t>
            </w:r>
          </w:p>
        </w:tc>
        <w:tc>
          <w:tcPr>
            <w:tcW w:w="19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9,6</w:t>
            </w:r>
            <w:r w:rsidRPr="002D08EE">
              <w:rPr>
                <w:rFonts w:asciiTheme="minorHAnsi" w:hAnsiTheme="minorHAnsi"/>
                <w:sz w:val="22"/>
                <w:szCs w:val="22"/>
              </w:rPr>
              <w:t>6</w:t>
            </w:r>
            <w:r w:rsidRPr="002D08EE">
              <w:rPr>
                <w:rFonts w:asciiTheme="minorHAnsi" w:hAnsiTheme="minorHAnsi"/>
                <w:color w:val="000000"/>
                <w:sz w:val="22"/>
                <w:szCs w:val="22"/>
              </w:rPr>
              <w:t>%</w:t>
            </w:r>
          </w:p>
        </w:tc>
        <w:tc>
          <w:tcPr>
            <w:tcW w:w="1134"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4,83%</w:t>
            </w:r>
          </w:p>
        </w:tc>
        <w:tc>
          <w:tcPr>
            <w:tcW w:w="113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3,45%</w:t>
            </w:r>
          </w:p>
        </w:tc>
        <w:tc>
          <w:tcPr>
            <w:tcW w:w="1559" w:type="dxa"/>
            <w:vMerge w:val="restart"/>
            <w:tcBorders>
              <w:top w:val="nil"/>
              <w:left w:val="nil"/>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100,00%</w:t>
            </w:r>
          </w:p>
        </w:tc>
        <w:tc>
          <w:tcPr>
            <w:tcW w:w="639"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300"/>
        </w:trPr>
        <w:tc>
          <w:tcPr>
            <w:tcW w:w="1207"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4111" w:type="dxa"/>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(96,55 % zo 100,00 %)</w:t>
            </w:r>
          </w:p>
        </w:tc>
        <w:tc>
          <w:tcPr>
            <w:tcW w:w="1134" w:type="dxa"/>
            <w:vMerge/>
            <w:tcBorders>
              <w:top w:val="nil"/>
              <w:left w:val="nil"/>
              <w:bottom w:val="single" w:sz="8" w:space="0" w:color="000000"/>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134" w:type="dxa"/>
            <w:vMerge/>
            <w:tcBorders>
              <w:top w:val="nil"/>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1559" w:type="dxa"/>
            <w:vMerge/>
            <w:tcBorders>
              <w:left w:val="nil"/>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639" w:type="dxa"/>
            <w:vAlign w:val="center"/>
            <w:hideMark/>
          </w:tcPr>
          <w:p w:rsidR="00CF63F4" w:rsidRPr="002D08EE" w:rsidRDefault="00CF63F4" w:rsidP="002A7815">
            <w:pPr>
              <w:rPr>
                <w:rFonts w:asciiTheme="minorHAnsi" w:hAnsiTheme="minorHAnsi"/>
                <w:sz w:val="22"/>
                <w:szCs w:val="22"/>
              </w:rPr>
            </w:pPr>
          </w:p>
        </w:tc>
      </w:tr>
      <w:tr w:rsidR="00CF63F4" w:rsidRPr="00CF63F4" w:rsidTr="002A7815">
        <w:trPr>
          <w:trHeight w:val="300"/>
        </w:trPr>
        <w:tc>
          <w:tcPr>
            <w:tcW w:w="1207" w:type="dxa"/>
            <w:vMerge/>
            <w:tcBorders>
              <w:top w:val="single" w:sz="8" w:space="0" w:color="auto"/>
              <w:left w:val="single" w:sz="8" w:space="0" w:color="auto"/>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219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(85,00 % z 96,55 %)</w:t>
            </w:r>
          </w:p>
        </w:tc>
        <w:tc>
          <w:tcPr>
            <w:tcW w:w="19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(10,00 % z 96,55 %)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(5,00 % z 96,55 %)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F63F4" w:rsidRPr="002D08EE" w:rsidRDefault="00CF63F4" w:rsidP="002A7815">
            <w:pPr>
              <w:jc w:val="center"/>
              <w:rPr>
                <w:rFonts w:asciiTheme="minorHAnsi" w:hAnsiTheme="minorHAnsi"/>
                <w:color w:val="000000"/>
                <w:sz w:val="22"/>
                <w:szCs w:val="22"/>
              </w:rPr>
            </w:pPr>
            <w:r w:rsidRPr="002D08EE">
              <w:rPr>
                <w:rFonts w:asciiTheme="minorHAnsi" w:hAnsiTheme="minorHAnsi"/>
                <w:color w:val="000000"/>
                <w:sz w:val="22"/>
                <w:szCs w:val="22"/>
              </w:rPr>
              <w:t>(3,45 zo 100,00 %)</w:t>
            </w:r>
          </w:p>
        </w:tc>
        <w:tc>
          <w:tcPr>
            <w:tcW w:w="1559" w:type="dxa"/>
            <w:vMerge/>
            <w:tcBorders>
              <w:left w:val="nil"/>
              <w:bottom w:val="single" w:sz="8" w:space="0" w:color="auto"/>
              <w:right w:val="single" w:sz="8" w:space="0" w:color="auto"/>
            </w:tcBorders>
            <w:vAlign w:val="center"/>
            <w:hideMark/>
          </w:tcPr>
          <w:p w:rsidR="00CF63F4" w:rsidRPr="002D08EE" w:rsidRDefault="00CF63F4" w:rsidP="002A7815">
            <w:pPr>
              <w:rPr>
                <w:rFonts w:asciiTheme="minorHAnsi" w:hAnsiTheme="minorHAnsi"/>
                <w:color w:val="000000"/>
                <w:sz w:val="22"/>
                <w:szCs w:val="22"/>
              </w:rPr>
            </w:pPr>
          </w:p>
        </w:tc>
        <w:tc>
          <w:tcPr>
            <w:tcW w:w="639" w:type="dxa"/>
            <w:vAlign w:val="center"/>
            <w:hideMark/>
          </w:tcPr>
          <w:p w:rsidR="00CF63F4" w:rsidRPr="002D08EE" w:rsidRDefault="00CF63F4" w:rsidP="002A7815">
            <w:pPr>
              <w:rPr>
                <w:rFonts w:asciiTheme="minorHAnsi" w:hAnsiTheme="minorHAnsi"/>
                <w:sz w:val="22"/>
                <w:szCs w:val="22"/>
              </w:rPr>
            </w:pPr>
          </w:p>
        </w:tc>
      </w:tr>
    </w:tbl>
    <w:p w:rsidR="00CF63F4" w:rsidRPr="002D08EE" w:rsidRDefault="00CF63F4" w:rsidP="00CF63F4">
      <w:pPr>
        <w:rPr>
          <w:rFonts w:asciiTheme="minorHAnsi" w:hAnsiTheme="minorHAnsi"/>
          <w:sz w:val="22"/>
          <w:szCs w:val="22"/>
          <w:u w:val="single"/>
        </w:rPr>
      </w:pPr>
    </w:p>
    <w:p w:rsidR="00CF63F4" w:rsidRPr="002D08EE" w:rsidRDefault="00CF63F4" w:rsidP="00CF63F4">
      <w:pPr>
        <w:spacing w:before="240" w:after="240"/>
        <w:ind w:firstLine="360"/>
        <w:jc w:val="both"/>
        <w:rPr>
          <w:rFonts w:asciiTheme="minorHAnsi" w:hAnsiTheme="minorHAnsi"/>
          <w:sz w:val="22"/>
          <w:szCs w:val="22"/>
        </w:rPr>
      </w:pPr>
      <w:r w:rsidRPr="002D08EE">
        <w:rPr>
          <w:rFonts w:asciiTheme="minorHAnsi" w:hAnsiTheme="minorHAnsi"/>
          <w:sz w:val="22"/>
          <w:szCs w:val="22"/>
        </w:rPr>
        <w:t xml:space="preserve">Oprávnené výdavky sa uhrádzajú vo vyššie uvedených pomeroch, ktoré sa percentuálne skladajú z nasledujúcich pomerov: </w:t>
      </w:r>
    </w:p>
    <w:p w:rsidR="00CF63F4" w:rsidRPr="00220D59" w:rsidRDefault="00CF63F4" w:rsidP="00CF63F4">
      <w:pPr>
        <w:pStyle w:val="Odsekzoznamu"/>
        <w:numPr>
          <w:ilvl w:val="0"/>
          <w:numId w:val="19"/>
        </w:numPr>
        <w:spacing w:before="240" w:after="240"/>
        <w:jc w:val="both"/>
        <w:rPr>
          <w:rFonts w:ascii="Calibri" w:eastAsia="Calibri" w:hAnsi="Calibri"/>
          <w:sz w:val="22"/>
          <w:szCs w:val="22"/>
          <w:lang w:eastAsia="en-US"/>
        </w:rPr>
      </w:pPr>
      <w:r w:rsidRPr="00220D59">
        <w:rPr>
          <w:rFonts w:ascii="Calibri" w:eastAsia="Calibri" w:hAnsi="Calibri"/>
          <w:b/>
          <w:sz w:val="22"/>
          <w:szCs w:val="22"/>
          <w:lang w:eastAsia="en-US"/>
        </w:rPr>
        <w:t>3,45 %</w:t>
      </w:r>
      <w:r w:rsidRPr="00220D59">
        <w:rPr>
          <w:rFonts w:ascii="Calibri" w:eastAsia="Calibri" w:hAnsi="Calibri"/>
          <w:sz w:val="22"/>
          <w:szCs w:val="22"/>
          <w:lang w:eastAsia="en-US"/>
        </w:rPr>
        <w:t xml:space="preserve"> z celkových oprávnených výdavkov tvorí financovanie „</w:t>
      </w:r>
      <w:proofErr w:type="spellStart"/>
      <w:r w:rsidRPr="00220D59">
        <w:rPr>
          <w:rFonts w:ascii="Calibri" w:eastAsia="Calibri" w:hAnsi="Calibri"/>
          <w:sz w:val="22"/>
          <w:szCs w:val="22"/>
          <w:lang w:eastAsia="en-US"/>
        </w:rPr>
        <w:t>pro</w:t>
      </w:r>
      <w:proofErr w:type="spellEnd"/>
      <w:r w:rsidRPr="00220D59">
        <w:rPr>
          <w:rFonts w:ascii="Calibri" w:eastAsia="Calibri" w:hAnsi="Calibri"/>
          <w:sz w:val="22"/>
          <w:szCs w:val="22"/>
          <w:lang w:eastAsia="en-US"/>
        </w:rPr>
        <w:t xml:space="preserve"> rata“ zo zdrojov štátneho rozpočtu. Keďže v operačnom programe Technická pomoc sú alokované prostriedky iba pre</w:t>
      </w:r>
      <w:r>
        <w:rPr>
          <w:rFonts w:ascii="Calibri" w:eastAsia="Calibri" w:hAnsi="Calibri"/>
          <w:sz w:val="22"/>
          <w:szCs w:val="22"/>
          <w:lang w:eastAsia="en-US"/>
        </w:rPr>
        <w:t> </w:t>
      </w:r>
      <w:r w:rsidRPr="00220D59">
        <w:rPr>
          <w:rFonts w:ascii="Calibri" w:eastAsia="Calibri" w:hAnsi="Calibri"/>
          <w:sz w:val="22"/>
          <w:szCs w:val="22"/>
          <w:lang w:eastAsia="en-US"/>
        </w:rPr>
        <w:t>kategóriu „menej rozvinutý región“, tieto prostriedky boli doplnené (vzhľadom na</w:t>
      </w:r>
      <w:r>
        <w:rPr>
          <w:rFonts w:ascii="Calibri" w:eastAsia="Calibri" w:hAnsi="Calibri"/>
          <w:sz w:val="22"/>
          <w:szCs w:val="22"/>
          <w:lang w:eastAsia="en-US"/>
        </w:rPr>
        <w:t> </w:t>
      </w:r>
      <w:r w:rsidRPr="00220D59">
        <w:rPr>
          <w:rFonts w:ascii="Calibri" w:eastAsia="Calibri" w:hAnsi="Calibri"/>
          <w:sz w:val="22"/>
          <w:szCs w:val="22"/>
          <w:lang w:eastAsia="en-US"/>
        </w:rPr>
        <w:t>horizontálny a celoplošný charakter aktivít operačného programu) s cieľom podporiť rozvinutejšie regióny formou „</w:t>
      </w:r>
      <w:proofErr w:type="spellStart"/>
      <w:r w:rsidRPr="00220D59">
        <w:rPr>
          <w:rFonts w:ascii="Calibri" w:eastAsia="Calibri" w:hAnsi="Calibri"/>
          <w:sz w:val="22"/>
          <w:szCs w:val="22"/>
          <w:lang w:eastAsia="en-US"/>
        </w:rPr>
        <w:t>pro</w:t>
      </w:r>
      <w:proofErr w:type="spellEnd"/>
      <w:r w:rsidRPr="00220D59">
        <w:rPr>
          <w:rFonts w:ascii="Calibri" w:eastAsia="Calibri" w:hAnsi="Calibri"/>
          <w:sz w:val="22"/>
          <w:szCs w:val="22"/>
          <w:lang w:eastAsia="en-US"/>
        </w:rPr>
        <w:t xml:space="preserve"> rata“;</w:t>
      </w:r>
    </w:p>
    <w:p w:rsidR="00CF63F4" w:rsidRPr="00DB4816" w:rsidRDefault="00CF63F4" w:rsidP="00CF63F4">
      <w:pPr>
        <w:pStyle w:val="Odsekzoznamu"/>
        <w:numPr>
          <w:ilvl w:val="0"/>
          <w:numId w:val="19"/>
        </w:numPr>
        <w:spacing w:before="240" w:after="240"/>
        <w:jc w:val="both"/>
        <w:rPr>
          <w:rFonts w:asciiTheme="minorHAnsi" w:eastAsia="Calibri" w:hAnsiTheme="minorHAnsi"/>
          <w:sz w:val="22"/>
          <w:szCs w:val="22"/>
          <w:lang w:eastAsia="en-US"/>
        </w:rPr>
      </w:pPr>
      <w:r w:rsidRPr="00220D59">
        <w:rPr>
          <w:rFonts w:ascii="Calibri" w:eastAsia="Calibri" w:hAnsi="Calibri"/>
          <w:b/>
          <w:sz w:val="22"/>
          <w:szCs w:val="22"/>
          <w:lang w:eastAsia="en-US"/>
        </w:rPr>
        <w:t>85 %</w:t>
      </w:r>
      <w:r w:rsidRPr="00220D59">
        <w:rPr>
          <w:rFonts w:ascii="Calibri" w:eastAsia="Calibri" w:hAnsi="Calibri"/>
          <w:sz w:val="22"/>
          <w:szCs w:val="22"/>
          <w:lang w:eastAsia="en-US"/>
        </w:rPr>
        <w:t xml:space="preserve"> z celkových oprávnených výdavkov bez zdrojov „</w:t>
      </w:r>
      <w:proofErr w:type="spellStart"/>
      <w:r w:rsidRPr="00220D59">
        <w:rPr>
          <w:rFonts w:ascii="Calibri" w:eastAsia="Calibri" w:hAnsi="Calibri"/>
          <w:sz w:val="22"/>
          <w:szCs w:val="22"/>
          <w:lang w:eastAsia="en-US"/>
        </w:rPr>
        <w:t>pro</w:t>
      </w:r>
      <w:proofErr w:type="spellEnd"/>
      <w:r w:rsidRPr="00220D59">
        <w:rPr>
          <w:rFonts w:ascii="Calibri" w:eastAsia="Calibri" w:hAnsi="Calibri"/>
          <w:sz w:val="22"/>
          <w:szCs w:val="22"/>
          <w:lang w:eastAsia="en-US"/>
        </w:rPr>
        <w:t xml:space="preserve"> rata“ tvorí výška pomoci z </w:t>
      </w:r>
      <w:r w:rsidRPr="00DB4816">
        <w:rPr>
          <w:rFonts w:asciiTheme="minorHAnsi" w:eastAsia="Calibri" w:hAnsiTheme="minorHAnsi"/>
          <w:sz w:val="22"/>
          <w:szCs w:val="22"/>
          <w:lang w:eastAsia="en-US"/>
        </w:rPr>
        <w:t>Európskeho fondu regionálneho rozvoja</w:t>
      </w:r>
      <w:r w:rsidR="00A86C8C">
        <w:rPr>
          <w:rFonts w:asciiTheme="minorHAnsi" w:eastAsia="Calibri" w:hAnsiTheme="minorHAnsi"/>
          <w:sz w:val="22"/>
          <w:szCs w:val="22"/>
          <w:lang w:eastAsia="en-US"/>
        </w:rPr>
        <w:t>.</w:t>
      </w:r>
    </w:p>
    <w:p w:rsidR="00CF63F4" w:rsidRPr="002D08EE" w:rsidRDefault="00CF63F4" w:rsidP="002D08EE">
      <w:pPr>
        <w:spacing w:before="240" w:after="240"/>
        <w:ind w:firstLine="360"/>
        <w:jc w:val="both"/>
        <w:rPr>
          <w:rFonts w:asciiTheme="minorHAnsi" w:hAnsiTheme="minorHAnsi"/>
          <w:sz w:val="22"/>
          <w:szCs w:val="22"/>
        </w:rPr>
      </w:pPr>
      <w:r w:rsidRPr="002D08EE">
        <w:rPr>
          <w:rFonts w:asciiTheme="minorHAnsi" w:hAnsiTheme="minorHAnsi"/>
          <w:sz w:val="22"/>
          <w:szCs w:val="22"/>
        </w:rPr>
        <w:t>Zdroje štátneho rozpočtu a príspevok prijímateľa sú členené nasledovne:</w:t>
      </w:r>
    </w:p>
    <w:p w:rsidR="00CF63F4" w:rsidRPr="00CE3AFB" w:rsidRDefault="00CF63F4" w:rsidP="002D08EE">
      <w:pPr>
        <w:pStyle w:val="Odsekzoznamu"/>
        <w:keepNext/>
        <w:numPr>
          <w:ilvl w:val="0"/>
          <w:numId w:val="21"/>
        </w:numPr>
        <w:autoSpaceDE w:val="0"/>
        <w:autoSpaceDN w:val="0"/>
        <w:adjustRightInd w:val="0"/>
        <w:spacing w:after="120" w:line="276" w:lineRule="auto"/>
        <w:ind w:left="714" w:hanging="357"/>
        <w:jc w:val="both"/>
        <w:rPr>
          <w:rFonts w:asciiTheme="minorHAnsi" w:hAnsiTheme="minorHAnsi"/>
          <w:b/>
          <w:sz w:val="22"/>
          <w:szCs w:val="22"/>
        </w:rPr>
      </w:pPr>
      <w:r w:rsidRPr="00DB4816">
        <w:rPr>
          <w:rFonts w:asciiTheme="minorHAnsi" w:hAnsiTheme="minorHAnsi"/>
          <w:b/>
          <w:bCs/>
          <w:iCs/>
          <w:sz w:val="22"/>
          <w:szCs w:val="22"/>
        </w:rPr>
        <w:t xml:space="preserve">v prípade </w:t>
      </w:r>
      <w:r w:rsidR="00AD7746" w:rsidRPr="00CE3AFB">
        <w:rPr>
          <w:rFonts w:asciiTheme="minorHAnsi" w:hAnsiTheme="minorHAnsi"/>
          <w:b/>
          <w:bCs/>
          <w:iCs/>
          <w:sz w:val="22"/>
          <w:szCs w:val="22"/>
        </w:rPr>
        <w:t>štátn</w:t>
      </w:r>
      <w:r w:rsidR="00CE3AFB" w:rsidRPr="002D08EE">
        <w:rPr>
          <w:rFonts w:asciiTheme="minorHAnsi" w:hAnsiTheme="minorHAnsi"/>
          <w:b/>
          <w:bCs/>
          <w:iCs/>
          <w:sz w:val="22"/>
          <w:szCs w:val="22"/>
        </w:rPr>
        <w:t>ej</w:t>
      </w:r>
      <w:r w:rsidR="00AD7746" w:rsidRPr="00CE3AFB">
        <w:rPr>
          <w:rFonts w:asciiTheme="minorHAnsi" w:hAnsiTheme="minorHAnsi"/>
          <w:b/>
          <w:bCs/>
          <w:iCs/>
          <w:sz w:val="22"/>
          <w:szCs w:val="22"/>
        </w:rPr>
        <w:t xml:space="preserve"> vysok</w:t>
      </w:r>
      <w:r w:rsidR="00CE3AFB" w:rsidRPr="002D08EE">
        <w:rPr>
          <w:rFonts w:asciiTheme="minorHAnsi" w:hAnsiTheme="minorHAnsi"/>
          <w:b/>
          <w:bCs/>
          <w:iCs/>
          <w:sz w:val="22"/>
          <w:szCs w:val="22"/>
        </w:rPr>
        <w:t>ej</w:t>
      </w:r>
      <w:r w:rsidR="00AD7746" w:rsidRPr="00CE3AFB">
        <w:rPr>
          <w:rFonts w:asciiTheme="minorHAnsi" w:hAnsiTheme="minorHAnsi"/>
          <w:b/>
          <w:bCs/>
          <w:iCs/>
          <w:sz w:val="22"/>
          <w:szCs w:val="22"/>
        </w:rPr>
        <w:t xml:space="preserve"> šk</w:t>
      </w:r>
      <w:r w:rsidR="00CE3AFB" w:rsidRPr="002D08EE">
        <w:rPr>
          <w:rFonts w:asciiTheme="minorHAnsi" w:hAnsiTheme="minorHAnsi"/>
          <w:b/>
          <w:bCs/>
          <w:iCs/>
          <w:sz w:val="22"/>
          <w:szCs w:val="22"/>
        </w:rPr>
        <w:t>o</w:t>
      </w:r>
      <w:r w:rsidR="00AD7746" w:rsidRPr="00CE3AFB">
        <w:rPr>
          <w:rFonts w:asciiTheme="minorHAnsi" w:hAnsiTheme="minorHAnsi"/>
          <w:b/>
          <w:bCs/>
          <w:iCs/>
          <w:sz w:val="22"/>
          <w:szCs w:val="22"/>
        </w:rPr>
        <w:t>l</w:t>
      </w:r>
      <w:r w:rsidR="00CE3AFB" w:rsidRPr="00CE3AFB">
        <w:rPr>
          <w:rFonts w:asciiTheme="minorHAnsi" w:hAnsiTheme="minorHAnsi"/>
          <w:b/>
          <w:bCs/>
          <w:iCs/>
          <w:sz w:val="22"/>
          <w:szCs w:val="22"/>
        </w:rPr>
        <w:t>y</w:t>
      </w:r>
      <w:r w:rsidR="00A86C8C">
        <w:rPr>
          <w:rFonts w:asciiTheme="minorHAnsi" w:hAnsiTheme="minorHAnsi"/>
          <w:b/>
          <w:bCs/>
          <w:iCs/>
          <w:sz w:val="22"/>
          <w:szCs w:val="22"/>
        </w:rPr>
        <w:t xml:space="preserve"> (partnera)</w:t>
      </w:r>
      <w:r w:rsidRPr="00CE3AFB">
        <w:rPr>
          <w:rFonts w:asciiTheme="minorHAnsi" w:hAnsiTheme="minorHAnsi"/>
          <w:b/>
          <w:bCs/>
          <w:iCs/>
          <w:sz w:val="22"/>
          <w:szCs w:val="22"/>
        </w:rPr>
        <w:t>:</w:t>
      </w:r>
    </w:p>
    <w:p w:rsidR="00CF63F4" w:rsidRPr="002D08EE" w:rsidRDefault="00CF63F4" w:rsidP="002D08EE">
      <w:pPr>
        <w:pStyle w:val="Odsekzoznamu"/>
        <w:numPr>
          <w:ilvl w:val="0"/>
          <w:numId w:val="19"/>
        </w:numPr>
        <w:spacing w:after="120" w:line="276" w:lineRule="auto"/>
        <w:jc w:val="both"/>
        <w:rPr>
          <w:rFonts w:ascii="Calibri" w:eastAsia="Calibri" w:hAnsi="Calibri"/>
          <w:sz w:val="22"/>
          <w:szCs w:val="22"/>
          <w:lang w:eastAsia="en-US"/>
        </w:rPr>
      </w:pPr>
      <w:r w:rsidRPr="002D08EE">
        <w:rPr>
          <w:rFonts w:ascii="Calibri" w:eastAsia="Calibri" w:hAnsi="Calibri"/>
          <w:b/>
          <w:sz w:val="22"/>
          <w:szCs w:val="22"/>
          <w:lang w:eastAsia="en-US"/>
        </w:rPr>
        <w:t xml:space="preserve">15 % </w:t>
      </w:r>
      <w:r w:rsidRPr="002D08EE">
        <w:rPr>
          <w:rFonts w:ascii="Calibri" w:eastAsia="Calibri" w:hAnsi="Calibri"/>
          <w:sz w:val="22"/>
          <w:szCs w:val="22"/>
          <w:lang w:eastAsia="en-US"/>
        </w:rPr>
        <w:t>z celkových oprávnených výdavkov bez zdrojov „</w:t>
      </w:r>
      <w:proofErr w:type="spellStart"/>
      <w:r w:rsidRPr="002D08EE">
        <w:rPr>
          <w:rFonts w:ascii="Calibri" w:eastAsia="Calibri" w:hAnsi="Calibri"/>
          <w:sz w:val="22"/>
          <w:szCs w:val="22"/>
          <w:lang w:eastAsia="en-US"/>
        </w:rPr>
        <w:t>pro</w:t>
      </w:r>
      <w:proofErr w:type="spellEnd"/>
      <w:r w:rsidRPr="002D08EE">
        <w:rPr>
          <w:rFonts w:ascii="Calibri" w:eastAsia="Calibri" w:hAnsi="Calibri"/>
          <w:sz w:val="22"/>
          <w:szCs w:val="22"/>
          <w:lang w:eastAsia="en-US"/>
        </w:rPr>
        <w:t xml:space="preserve"> rata“ tvorí príspevok zo štátneho rozpočtu</w:t>
      </w:r>
      <w:r w:rsidR="00A86C8C">
        <w:rPr>
          <w:rFonts w:ascii="Calibri" w:eastAsia="Calibri" w:hAnsi="Calibri"/>
          <w:sz w:val="22"/>
          <w:szCs w:val="22"/>
          <w:lang w:eastAsia="en-US"/>
        </w:rPr>
        <w:t>;</w:t>
      </w:r>
    </w:p>
    <w:p w:rsidR="00CF63F4" w:rsidRPr="00DB4816" w:rsidRDefault="00CF63F4" w:rsidP="002D08EE">
      <w:pPr>
        <w:pStyle w:val="Odsekzoznamu"/>
        <w:numPr>
          <w:ilvl w:val="0"/>
          <w:numId w:val="21"/>
        </w:numPr>
        <w:autoSpaceDE w:val="0"/>
        <w:autoSpaceDN w:val="0"/>
        <w:adjustRightInd w:val="0"/>
        <w:spacing w:after="120" w:line="276" w:lineRule="auto"/>
        <w:jc w:val="both"/>
        <w:rPr>
          <w:rFonts w:asciiTheme="minorHAnsi" w:hAnsiTheme="minorHAnsi"/>
          <w:b/>
          <w:bCs/>
          <w:iCs/>
          <w:sz w:val="22"/>
          <w:szCs w:val="22"/>
        </w:rPr>
      </w:pPr>
      <w:r w:rsidRPr="00DB4816">
        <w:rPr>
          <w:rFonts w:asciiTheme="minorHAnsi" w:hAnsiTheme="minorHAnsi"/>
          <w:b/>
          <w:bCs/>
          <w:iCs/>
          <w:sz w:val="22"/>
          <w:szCs w:val="22"/>
        </w:rPr>
        <w:t xml:space="preserve">v prípade </w:t>
      </w:r>
      <w:r>
        <w:rPr>
          <w:rFonts w:asciiTheme="minorHAnsi" w:hAnsiTheme="minorHAnsi"/>
          <w:b/>
          <w:bCs/>
          <w:iCs/>
          <w:sz w:val="22"/>
          <w:szCs w:val="22"/>
        </w:rPr>
        <w:t>verejn</w:t>
      </w:r>
      <w:r w:rsidR="00A86C8C">
        <w:rPr>
          <w:rFonts w:asciiTheme="minorHAnsi" w:hAnsiTheme="minorHAnsi"/>
          <w:b/>
          <w:bCs/>
          <w:iCs/>
          <w:sz w:val="22"/>
          <w:szCs w:val="22"/>
        </w:rPr>
        <w:t>ej</w:t>
      </w:r>
      <w:r>
        <w:rPr>
          <w:rFonts w:asciiTheme="minorHAnsi" w:hAnsiTheme="minorHAnsi"/>
          <w:b/>
          <w:bCs/>
          <w:iCs/>
          <w:sz w:val="22"/>
          <w:szCs w:val="22"/>
        </w:rPr>
        <w:t xml:space="preserve"> vysok</w:t>
      </w:r>
      <w:r w:rsidR="00A86C8C">
        <w:rPr>
          <w:rFonts w:asciiTheme="minorHAnsi" w:hAnsiTheme="minorHAnsi"/>
          <w:b/>
          <w:bCs/>
          <w:iCs/>
          <w:sz w:val="22"/>
          <w:szCs w:val="22"/>
        </w:rPr>
        <w:t>ej</w:t>
      </w:r>
      <w:r>
        <w:rPr>
          <w:rFonts w:asciiTheme="minorHAnsi" w:hAnsiTheme="minorHAnsi"/>
          <w:b/>
          <w:bCs/>
          <w:iCs/>
          <w:sz w:val="22"/>
          <w:szCs w:val="22"/>
        </w:rPr>
        <w:t xml:space="preserve"> šk</w:t>
      </w:r>
      <w:r w:rsidR="00A86C8C">
        <w:rPr>
          <w:rFonts w:asciiTheme="minorHAnsi" w:hAnsiTheme="minorHAnsi"/>
          <w:b/>
          <w:bCs/>
          <w:iCs/>
          <w:sz w:val="22"/>
          <w:szCs w:val="22"/>
        </w:rPr>
        <w:t>o</w:t>
      </w:r>
      <w:r>
        <w:rPr>
          <w:rFonts w:asciiTheme="minorHAnsi" w:hAnsiTheme="minorHAnsi"/>
          <w:b/>
          <w:bCs/>
          <w:iCs/>
          <w:sz w:val="22"/>
          <w:szCs w:val="22"/>
        </w:rPr>
        <w:t>l</w:t>
      </w:r>
      <w:r w:rsidR="00A86C8C">
        <w:rPr>
          <w:rFonts w:asciiTheme="minorHAnsi" w:hAnsiTheme="minorHAnsi"/>
          <w:b/>
          <w:bCs/>
          <w:iCs/>
          <w:sz w:val="22"/>
          <w:szCs w:val="22"/>
        </w:rPr>
        <w:t>y</w:t>
      </w:r>
      <w:r>
        <w:rPr>
          <w:rFonts w:asciiTheme="minorHAnsi" w:hAnsiTheme="minorHAnsi"/>
          <w:b/>
          <w:bCs/>
          <w:iCs/>
          <w:sz w:val="22"/>
          <w:szCs w:val="22"/>
        </w:rPr>
        <w:t xml:space="preserve"> (partnera)</w:t>
      </w:r>
      <w:r w:rsidRPr="00DB4816">
        <w:rPr>
          <w:rFonts w:asciiTheme="minorHAnsi" w:hAnsiTheme="minorHAnsi"/>
          <w:b/>
          <w:bCs/>
          <w:iCs/>
          <w:sz w:val="22"/>
          <w:szCs w:val="22"/>
        </w:rPr>
        <w:t>:</w:t>
      </w:r>
    </w:p>
    <w:p w:rsidR="00CF63F4" w:rsidRPr="00DB4816" w:rsidRDefault="00CF63F4" w:rsidP="002D08EE">
      <w:pPr>
        <w:pStyle w:val="Odsekzoznamu"/>
        <w:numPr>
          <w:ilvl w:val="0"/>
          <w:numId w:val="20"/>
        </w:numPr>
        <w:autoSpaceDE w:val="0"/>
        <w:autoSpaceDN w:val="0"/>
        <w:adjustRightInd w:val="0"/>
        <w:spacing w:after="120" w:line="276" w:lineRule="auto"/>
        <w:ind w:left="709" w:hanging="142"/>
        <w:jc w:val="both"/>
        <w:rPr>
          <w:rFonts w:asciiTheme="minorHAnsi" w:hAnsiTheme="minorHAnsi"/>
          <w:bCs/>
          <w:iCs/>
          <w:sz w:val="22"/>
          <w:szCs w:val="22"/>
        </w:rPr>
      </w:pPr>
      <w:r w:rsidRPr="00DB4816">
        <w:rPr>
          <w:rFonts w:asciiTheme="minorHAnsi" w:hAnsiTheme="minorHAnsi"/>
          <w:b/>
          <w:bCs/>
          <w:iCs/>
          <w:sz w:val="22"/>
          <w:szCs w:val="22"/>
        </w:rPr>
        <w:t>10 %</w:t>
      </w:r>
      <w:r w:rsidRPr="00DB4816">
        <w:rPr>
          <w:rFonts w:asciiTheme="minorHAnsi" w:hAnsiTheme="minorHAnsi"/>
          <w:bCs/>
          <w:iCs/>
          <w:sz w:val="22"/>
          <w:szCs w:val="22"/>
        </w:rPr>
        <w:t xml:space="preserve"> z celkových oprávnených výdavkov bez zdrojov „</w:t>
      </w:r>
      <w:proofErr w:type="spellStart"/>
      <w:r w:rsidRPr="00DB4816">
        <w:rPr>
          <w:rFonts w:asciiTheme="minorHAnsi" w:hAnsiTheme="minorHAnsi"/>
          <w:bCs/>
          <w:iCs/>
          <w:sz w:val="22"/>
          <w:szCs w:val="22"/>
        </w:rPr>
        <w:t>pro</w:t>
      </w:r>
      <w:proofErr w:type="spellEnd"/>
      <w:r w:rsidRPr="00DB4816">
        <w:rPr>
          <w:rFonts w:asciiTheme="minorHAnsi" w:hAnsiTheme="minorHAnsi"/>
          <w:bCs/>
          <w:iCs/>
          <w:sz w:val="22"/>
          <w:szCs w:val="22"/>
        </w:rPr>
        <w:t xml:space="preserve"> rata“ tvorí príspevok zo štátneho rozpočtu</w:t>
      </w:r>
      <w:r w:rsidR="00A86C8C">
        <w:rPr>
          <w:rFonts w:asciiTheme="minorHAnsi" w:hAnsiTheme="minorHAnsi"/>
          <w:bCs/>
          <w:iCs/>
          <w:sz w:val="22"/>
          <w:szCs w:val="22"/>
        </w:rPr>
        <w:t>.</w:t>
      </w:r>
    </w:p>
    <w:p w:rsidR="00692B9A" w:rsidRPr="002D08EE" w:rsidRDefault="00CF63F4" w:rsidP="002D08EE">
      <w:pPr>
        <w:spacing w:before="240" w:after="240"/>
        <w:ind w:firstLine="360"/>
        <w:jc w:val="both"/>
        <w:rPr>
          <w:rFonts w:asciiTheme="minorHAnsi" w:hAnsiTheme="minorHAnsi"/>
          <w:sz w:val="22"/>
          <w:szCs w:val="22"/>
        </w:rPr>
      </w:pPr>
      <w:r w:rsidRPr="002D08EE">
        <w:rPr>
          <w:rFonts w:asciiTheme="minorHAnsi" w:hAnsiTheme="minorHAnsi"/>
          <w:sz w:val="22"/>
          <w:szCs w:val="22"/>
        </w:rPr>
        <w:t>P</w:t>
      </w:r>
      <w:r w:rsidR="00692B9A" w:rsidRPr="002D08EE">
        <w:rPr>
          <w:rFonts w:asciiTheme="minorHAnsi" w:hAnsiTheme="minorHAnsi"/>
          <w:sz w:val="22"/>
          <w:szCs w:val="22"/>
        </w:rPr>
        <w:t>ríspevok prijímateľa/partnera bez zdrojov „</w:t>
      </w:r>
      <w:proofErr w:type="spellStart"/>
      <w:r w:rsidR="00692B9A" w:rsidRPr="002D08EE">
        <w:rPr>
          <w:rFonts w:asciiTheme="minorHAnsi" w:hAnsiTheme="minorHAnsi"/>
          <w:sz w:val="22"/>
          <w:szCs w:val="22"/>
        </w:rPr>
        <w:t>pro</w:t>
      </w:r>
      <w:proofErr w:type="spellEnd"/>
      <w:r w:rsidR="00692B9A" w:rsidRPr="002D08EE">
        <w:rPr>
          <w:rFonts w:asciiTheme="minorHAnsi" w:hAnsiTheme="minorHAnsi"/>
          <w:sz w:val="22"/>
          <w:szCs w:val="22"/>
        </w:rPr>
        <w:t xml:space="preserve"> rata“ tvorí: </w:t>
      </w:r>
    </w:p>
    <w:p w:rsidR="00BE155F" w:rsidRPr="002F2777" w:rsidRDefault="00BE155F" w:rsidP="002D08EE">
      <w:pPr>
        <w:pStyle w:val="Odsekzoznamu"/>
        <w:keepNext/>
        <w:numPr>
          <w:ilvl w:val="0"/>
          <w:numId w:val="23"/>
        </w:numPr>
        <w:autoSpaceDE w:val="0"/>
        <w:autoSpaceDN w:val="0"/>
        <w:adjustRightInd w:val="0"/>
        <w:spacing w:line="276" w:lineRule="auto"/>
        <w:ind w:left="714" w:hanging="357"/>
        <w:jc w:val="both"/>
        <w:rPr>
          <w:rFonts w:asciiTheme="minorHAnsi" w:hAnsiTheme="minorHAnsi"/>
          <w:b/>
          <w:sz w:val="22"/>
          <w:szCs w:val="22"/>
        </w:rPr>
      </w:pPr>
      <w:r w:rsidRPr="00DB4816">
        <w:rPr>
          <w:rFonts w:asciiTheme="minorHAnsi" w:hAnsiTheme="minorHAnsi"/>
          <w:b/>
          <w:bCs/>
          <w:iCs/>
          <w:sz w:val="22"/>
          <w:szCs w:val="22"/>
        </w:rPr>
        <w:t xml:space="preserve">v prípade </w:t>
      </w:r>
      <w:r w:rsidRPr="002F2777">
        <w:rPr>
          <w:rFonts w:asciiTheme="minorHAnsi" w:hAnsiTheme="minorHAnsi"/>
          <w:b/>
          <w:bCs/>
          <w:iCs/>
          <w:sz w:val="22"/>
          <w:szCs w:val="22"/>
        </w:rPr>
        <w:t>štátnej vysokej školy</w:t>
      </w:r>
      <w:r>
        <w:rPr>
          <w:rFonts w:asciiTheme="minorHAnsi" w:hAnsiTheme="minorHAnsi"/>
          <w:b/>
          <w:bCs/>
          <w:iCs/>
          <w:sz w:val="22"/>
          <w:szCs w:val="22"/>
        </w:rPr>
        <w:t xml:space="preserve"> (partnera)</w:t>
      </w:r>
      <w:r w:rsidRPr="002F2777">
        <w:rPr>
          <w:rFonts w:asciiTheme="minorHAnsi" w:hAnsiTheme="minorHAnsi"/>
          <w:b/>
          <w:bCs/>
          <w:iCs/>
          <w:sz w:val="22"/>
          <w:szCs w:val="22"/>
        </w:rPr>
        <w:t>:</w:t>
      </w:r>
    </w:p>
    <w:p w:rsidR="00692B9A" w:rsidRPr="002D08EE" w:rsidRDefault="00A86C8C" w:rsidP="002D08EE">
      <w:pPr>
        <w:autoSpaceDE w:val="0"/>
        <w:autoSpaceDN w:val="0"/>
        <w:spacing w:after="120" w:line="276" w:lineRule="auto"/>
        <w:ind w:left="852" w:hanging="284"/>
        <w:jc w:val="both"/>
        <w:rPr>
          <w:rFonts w:asciiTheme="minorHAnsi" w:hAnsiTheme="minorHAnsi"/>
          <w:b/>
          <w:bCs/>
          <w:iCs/>
          <w:sz w:val="22"/>
          <w:szCs w:val="22"/>
        </w:rPr>
      </w:pPr>
      <w:r w:rsidRPr="002D08EE">
        <w:rPr>
          <w:rFonts w:asciiTheme="minorHAnsi" w:hAnsiTheme="minorHAnsi"/>
          <w:b/>
          <w:bCs/>
          <w:iCs/>
          <w:sz w:val="22"/>
          <w:szCs w:val="22"/>
        </w:rPr>
        <w:t xml:space="preserve">- </w:t>
      </w:r>
      <w:r w:rsidR="00BE155F">
        <w:rPr>
          <w:rFonts w:asciiTheme="minorHAnsi" w:hAnsiTheme="minorHAnsi"/>
          <w:b/>
          <w:bCs/>
          <w:iCs/>
          <w:sz w:val="22"/>
          <w:szCs w:val="22"/>
        </w:rPr>
        <w:t xml:space="preserve"> </w:t>
      </w:r>
      <w:r w:rsidR="00692B9A" w:rsidRPr="002D08EE">
        <w:rPr>
          <w:rFonts w:asciiTheme="minorHAnsi" w:hAnsiTheme="minorHAnsi"/>
          <w:b/>
          <w:bCs/>
          <w:iCs/>
          <w:sz w:val="22"/>
          <w:szCs w:val="22"/>
        </w:rPr>
        <w:t xml:space="preserve">0 % </w:t>
      </w:r>
      <w:r w:rsidR="00692B9A" w:rsidRPr="002D08EE">
        <w:rPr>
          <w:rFonts w:asciiTheme="minorHAnsi" w:hAnsiTheme="minorHAnsi"/>
          <w:bCs/>
          <w:iCs/>
          <w:sz w:val="22"/>
          <w:szCs w:val="22"/>
        </w:rPr>
        <w:t>z celkových oprávnených výdavkov</w:t>
      </w:r>
      <w:r w:rsidR="00BE155F">
        <w:rPr>
          <w:rFonts w:asciiTheme="minorHAnsi" w:hAnsiTheme="minorHAnsi"/>
          <w:bCs/>
          <w:iCs/>
          <w:sz w:val="22"/>
          <w:szCs w:val="22"/>
        </w:rPr>
        <w:t>;</w:t>
      </w:r>
    </w:p>
    <w:p w:rsidR="00BE155F" w:rsidRPr="00DB4816" w:rsidRDefault="00BE155F" w:rsidP="002D08EE">
      <w:pPr>
        <w:pStyle w:val="Odsekzoznamu"/>
        <w:numPr>
          <w:ilvl w:val="0"/>
          <w:numId w:val="23"/>
        </w:numPr>
        <w:autoSpaceDE w:val="0"/>
        <w:autoSpaceDN w:val="0"/>
        <w:adjustRightInd w:val="0"/>
        <w:spacing w:line="276" w:lineRule="auto"/>
        <w:ind w:left="714" w:hanging="357"/>
        <w:jc w:val="both"/>
        <w:rPr>
          <w:rFonts w:asciiTheme="minorHAnsi" w:hAnsiTheme="minorHAnsi"/>
          <w:b/>
          <w:bCs/>
          <w:iCs/>
          <w:sz w:val="22"/>
          <w:szCs w:val="22"/>
        </w:rPr>
      </w:pPr>
      <w:r w:rsidRPr="00DB4816">
        <w:rPr>
          <w:rFonts w:asciiTheme="minorHAnsi" w:hAnsiTheme="minorHAnsi"/>
          <w:b/>
          <w:bCs/>
          <w:iCs/>
          <w:sz w:val="22"/>
          <w:szCs w:val="22"/>
        </w:rPr>
        <w:t xml:space="preserve">v prípade </w:t>
      </w:r>
      <w:r>
        <w:rPr>
          <w:rFonts w:asciiTheme="minorHAnsi" w:hAnsiTheme="minorHAnsi"/>
          <w:b/>
          <w:bCs/>
          <w:iCs/>
          <w:sz w:val="22"/>
          <w:szCs w:val="22"/>
        </w:rPr>
        <w:t>verejnej vysokej školy (partnera)</w:t>
      </w:r>
      <w:r w:rsidRPr="00DB4816">
        <w:rPr>
          <w:rFonts w:asciiTheme="minorHAnsi" w:hAnsiTheme="minorHAnsi"/>
          <w:b/>
          <w:bCs/>
          <w:iCs/>
          <w:sz w:val="22"/>
          <w:szCs w:val="22"/>
        </w:rPr>
        <w:t>:</w:t>
      </w:r>
    </w:p>
    <w:p w:rsidR="00692B9A" w:rsidRPr="002D08EE" w:rsidRDefault="00A86C8C" w:rsidP="002D08EE">
      <w:pPr>
        <w:autoSpaceDE w:val="0"/>
        <w:autoSpaceDN w:val="0"/>
        <w:spacing w:after="120" w:line="276" w:lineRule="auto"/>
        <w:ind w:left="852" w:hanging="284"/>
        <w:jc w:val="both"/>
        <w:rPr>
          <w:rFonts w:asciiTheme="minorHAnsi" w:hAnsiTheme="minorHAnsi"/>
          <w:color w:val="000000"/>
          <w:sz w:val="22"/>
          <w:szCs w:val="22"/>
          <w:lang w:eastAsia="en-US"/>
        </w:rPr>
      </w:pPr>
      <w:r>
        <w:rPr>
          <w:rFonts w:asciiTheme="minorHAnsi" w:hAnsiTheme="minorHAnsi"/>
          <w:sz w:val="22"/>
          <w:szCs w:val="22"/>
        </w:rPr>
        <w:t xml:space="preserve">- </w:t>
      </w:r>
      <w:r w:rsidR="00692B9A" w:rsidRPr="002D08EE">
        <w:rPr>
          <w:rFonts w:asciiTheme="minorHAnsi" w:hAnsiTheme="minorHAnsi"/>
          <w:b/>
          <w:bCs/>
          <w:sz w:val="22"/>
          <w:szCs w:val="22"/>
        </w:rPr>
        <w:t>5 %</w:t>
      </w:r>
      <w:r w:rsidR="00692B9A" w:rsidRPr="002D08EE">
        <w:rPr>
          <w:rFonts w:asciiTheme="minorHAnsi" w:hAnsiTheme="minorHAnsi"/>
          <w:sz w:val="22"/>
          <w:szCs w:val="22"/>
        </w:rPr>
        <w:t xml:space="preserve"> </w:t>
      </w:r>
      <w:r w:rsidR="00692B9A" w:rsidRPr="002D08EE">
        <w:rPr>
          <w:rFonts w:asciiTheme="minorHAnsi" w:hAnsiTheme="minorHAnsi"/>
          <w:color w:val="000000"/>
          <w:sz w:val="22"/>
          <w:szCs w:val="22"/>
        </w:rPr>
        <w:t>z celkových oprávnených výdavkov</w:t>
      </w:r>
      <w:r>
        <w:rPr>
          <w:rFonts w:asciiTheme="minorHAnsi" w:hAnsiTheme="minorHAnsi"/>
          <w:color w:val="000000"/>
          <w:sz w:val="22"/>
          <w:szCs w:val="22"/>
        </w:rPr>
        <w:t>.</w:t>
      </w:r>
    </w:p>
    <w:p w:rsidR="002D08EE" w:rsidRDefault="002D08EE">
      <w:pPr>
        <w:spacing w:after="200" w:line="276" w:lineRule="auto"/>
        <w:rPr>
          <w:b/>
        </w:rPr>
      </w:pPr>
    </w:p>
    <w:p w:rsidR="006829FC" w:rsidRPr="00CF63F4" w:rsidRDefault="006829FC" w:rsidP="003F75F9">
      <w:pPr>
        <w:pStyle w:val="Odsekzoznamu"/>
        <w:numPr>
          <w:ilvl w:val="1"/>
          <w:numId w:val="1"/>
        </w:numPr>
        <w:spacing w:before="120" w:after="120"/>
        <w:rPr>
          <w:b/>
        </w:rPr>
      </w:pPr>
      <w:r w:rsidRPr="00CF63F4">
        <w:rPr>
          <w:b/>
        </w:rPr>
        <w:t xml:space="preserve">Časový harmonogram konania o </w:t>
      </w:r>
      <w:proofErr w:type="spellStart"/>
      <w:r w:rsidRPr="00CF63F4">
        <w:rPr>
          <w:b/>
        </w:rPr>
        <w:t>ŽoNFP</w:t>
      </w:r>
      <w:proofErr w:type="spellEnd"/>
      <w:r w:rsidRPr="00CF63F4">
        <w:rPr>
          <w:b/>
        </w:rPr>
        <w:tab/>
      </w:r>
    </w:p>
    <w:p w:rsidR="002D76F0" w:rsidRPr="002D08EE" w:rsidRDefault="002D76F0" w:rsidP="002D08EE">
      <w:pPr>
        <w:autoSpaceDE w:val="0"/>
        <w:autoSpaceDN w:val="0"/>
        <w:adjustRightInd w:val="0"/>
        <w:spacing w:after="120" w:line="276" w:lineRule="auto"/>
        <w:ind w:firstLine="357"/>
        <w:jc w:val="both"/>
        <w:rPr>
          <w:rFonts w:asciiTheme="minorHAnsi" w:hAnsiTheme="minorHAnsi"/>
          <w:color w:val="000000"/>
          <w:sz w:val="22"/>
          <w:szCs w:val="22"/>
          <w:lang w:eastAsia="en-US"/>
        </w:rPr>
      </w:pPr>
      <w:r w:rsidRPr="002D08EE">
        <w:rPr>
          <w:rFonts w:asciiTheme="minorHAnsi" w:hAnsiTheme="minorHAnsi"/>
          <w:color w:val="000000"/>
          <w:sz w:val="22"/>
          <w:szCs w:val="22"/>
          <w:lang w:eastAsia="en-US"/>
        </w:rPr>
        <w:t xml:space="preserve">Rozhodnutie o žiadosti o nenávratný finančný príspevok bude vydané najneskôr do 35 pracovných dní od konečného termínu príslušného posudzovaného časového obdobia vyzvania. </w:t>
      </w:r>
    </w:p>
    <w:p w:rsidR="002D76F0" w:rsidRPr="002D08EE" w:rsidRDefault="002D76F0" w:rsidP="002D08EE">
      <w:pPr>
        <w:autoSpaceDE w:val="0"/>
        <w:autoSpaceDN w:val="0"/>
        <w:adjustRightInd w:val="0"/>
        <w:spacing w:after="120" w:line="276" w:lineRule="auto"/>
        <w:ind w:firstLine="357"/>
        <w:jc w:val="both"/>
        <w:rPr>
          <w:rFonts w:asciiTheme="minorHAnsi" w:hAnsiTheme="minorHAnsi"/>
          <w:color w:val="000000"/>
          <w:sz w:val="22"/>
          <w:szCs w:val="22"/>
          <w:lang w:eastAsia="en-US"/>
        </w:rPr>
      </w:pPr>
      <w:r w:rsidRPr="002D08EE">
        <w:rPr>
          <w:rFonts w:asciiTheme="minorHAnsi" w:hAnsiTheme="minorHAnsi"/>
          <w:color w:val="000000"/>
          <w:sz w:val="22"/>
          <w:szCs w:val="22"/>
          <w:lang w:eastAsia="en-US"/>
        </w:rPr>
        <w:t xml:space="preserve">Posudzovaným obdobím tohto vyzvania je kalendárny týždeň, pričom posudzovanie žiadosti začne v prvý pracovný deň nasledujúceho týždňa. </w:t>
      </w:r>
    </w:p>
    <w:p w:rsidR="002D76F0" w:rsidRPr="002D08EE" w:rsidRDefault="002D76F0" w:rsidP="002D08EE">
      <w:pPr>
        <w:autoSpaceDE w:val="0"/>
        <w:autoSpaceDN w:val="0"/>
        <w:adjustRightInd w:val="0"/>
        <w:spacing w:after="120" w:line="276" w:lineRule="auto"/>
        <w:ind w:firstLine="357"/>
        <w:jc w:val="both"/>
        <w:rPr>
          <w:rFonts w:asciiTheme="minorHAnsi" w:hAnsiTheme="minorHAnsi"/>
          <w:color w:val="000000"/>
          <w:sz w:val="22"/>
          <w:szCs w:val="22"/>
          <w:lang w:eastAsia="en-US"/>
        </w:rPr>
      </w:pPr>
      <w:r w:rsidRPr="002D08EE">
        <w:rPr>
          <w:rFonts w:asciiTheme="minorHAnsi" w:hAnsiTheme="minorHAnsi"/>
          <w:color w:val="000000"/>
          <w:sz w:val="22"/>
          <w:szCs w:val="22"/>
          <w:lang w:eastAsia="en-US"/>
        </w:rPr>
        <w:t>Riadiaci orgán je oprávnený predĺžiť lehotu</w:t>
      </w:r>
      <w:r w:rsidRPr="002D08EE">
        <w:rPr>
          <w:rStyle w:val="Odkaznapoznmkupodiarou"/>
          <w:rFonts w:asciiTheme="minorHAnsi" w:eastAsiaTheme="majorEastAsia" w:hAnsiTheme="minorHAnsi"/>
          <w:color w:val="000000"/>
          <w:sz w:val="22"/>
          <w:szCs w:val="22"/>
          <w:lang w:eastAsia="en-US"/>
        </w:rPr>
        <w:footnoteReference w:id="1"/>
      </w:r>
      <w:r w:rsidRPr="002D08EE">
        <w:rPr>
          <w:rFonts w:asciiTheme="minorHAnsi" w:hAnsiTheme="minorHAnsi"/>
          <w:color w:val="000000"/>
          <w:sz w:val="22"/>
          <w:szCs w:val="22"/>
          <w:lang w:eastAsia="en-US"/>
        </w:rPr>
        <w:t xml:space="preserve"> na vydanie rozhodnutia o žiadosti o NFP v</w:t>
      </w:r>
      <w:r w:rsidR="00727285" w:rsidRPr="002D08EE">
        <w:rPr>
          <w:rFonts w:asciiTheme="minorHAnsi" w:hAnsiTheme="minorHAnsi"/>
          <w:color w:val="000000"/>
          <w:sz w:val="22"/>
          <w:szCs w:val="22"/>
          <w:lang w:eastAsia="en-US"/>
        </w:rPr>
        <w:t> </w:t>
      </w:r>
      <w:r w:rsidRPr="002D08EE">
        <w:rPr>
          <w:rFonts w:asciiTheme="minorHAnsi" w:hAnsiTheme="minorHAnsi"/>
          <w:color w:val="000000"/>
          <w:sz w:val="22"/>
          <w:szCs w:val="22"/>
          <w:lang w:eastAsia="en-US"/>
        </w:rPr>
        <w:t>prípade, ak nie je možné ukončiť konanie o žiadosti o NFP do 35 pracovných dní od</w:t>
      </w:r>
      <w:r w:rsidR="00727285" w:rsidRPr="002D08EE">
        <w:rPr>
          <w:rFonts w:asciiTheme="minorHAnsi" w:hAnsiTheme="minorHAnsi"/>
          <w:color w:val="000000"/>
          <w:sz w:val="22"/>
          <w:szCs w:val="22"/>
          <w:lang w:eastAsia="en-US"/>
        </w:rPr>
        <w:t> </w:t>
      </w:r>
      <w:r w:rsidRPr="002D08EE">
        <w:rPr>
          <w:rFonts w:asciiTheme="minorHAnsi" w:hAnsiTheme="minorHAnsi"/>
          <w:color w:val="000000"/>
          <w:sz w:val="22"/>
          <w:szCs w:val="22"/>
          <w:lang w:eastAsia="en-US"/>
        </w:rPr>
        <w:t>konečného termínu príslušného posudzovaného časového obdobia vyzvania. Informáciu o</w:t>
      </w:r>
      <w:r w:rsidR="00727285" w:rsidRPr="002D08EE">
        <w:rPr>
          <w:rFonts w:asciiTheme="minorHAnsi" w:hAnsiTheme="minorHAnsi"/>
          <w:color w:val="000000"/>
          <w:sz w:val="22"/>
          <w:szCs w:val="22"/>
          <w:lang w:eastAsia="en-US"/>
        </w:rPr>
        <w:t> </w:t>
      </w:r>
      <w:r w:rsidRPr="002D08EE">
        <w:rPr>
          <w:rFonts w:asciiTheme="minorHAnsi" w:hAnsiTheme="minorHAnsi"/>
          <w:color w:val="000000"/>
          <w:sz w:val="22"/>
          <w:szCs w:val="22"/>
          <w:lang w:eastAsia="en-US"/>
        </w:rPr>
        <w:t xml:space="preserve">prípadnom predĺžení lehoty na vydanie rozhodnutia o žiadosti o NFP zverejní riadiaci orgán na svojom webovom sídle. </w:t>
      </w:r>
    </w:p>
    <w:p w:rsidR="00B47E18" w:rsidRPr="002D08EE" w:rsidRDefault="002D76F0" w:rsidP="002D08EE">
      <w:pPr>
        <w:spacing w:after="120" w:line="276" w:lineRule="auto"/>
        <w:ind w:firstLine="357"/>
        <w:jc w:val="both"/>
        <w:rPr>
          <w:rFonts w:asciiTheme="minorHAnsi" w:hAnsiTheme="minorHAnsi"/>
          <w:sz w:val="22"/>
          <w:szCs w:val="22"/>
        </w:rPr>
      </w:pPr>
      <w:r w:rsidRPr="002D08EE">
        <w:rPr>
          <w:rFonts w:asciiTheme="minorHAnsi" w:hAnsiTheme="minorHAnsi"/>
          <w:color w:val="000000"/>
          <w:sz w:val="22"/>
          <w:szCs w:val="22"/>
          <w:lang w:eastAsia="en-US"/>
        </w:rPr>
        <w:t xml:space="preserve">Do lehoty na vydanie rozhodnutia sa nezapočítava čas potrebný na predloženie náležitostí zo strany žiadateľa na základe výzvy zaslanej riadiacim orgánom (t. j. prerušuje sa v momente zaslania výzvy na doplnenie chýbajúcich náležitostí a začína plynúť momentom doručenia náležitostí na riadiaci orgán). </w:t>
      </w:r>
      <w:r w:rsidR="00B47E18" w:rsidRPr="002D08EE">
        <w:rPr>
          <w:rFonts w:asciiTheme="minorHAnsi" w:hAnsiTheme="minorHAnsi"/>
          <w:sz w:val="22"/>
          <w:szCs w:val="22"/>
        </w:rPr>
        <w:t>RO uvedie časové obdobie, v rámci ktorého bude rozhodnuté o </w:t>
      </w:r>
      <w:proofErr w:type="spellStart"/>
      <w:r w:rsidR="00B47E18" w:rsidRPr="002D08EE">
        <w:rPr>
          <w:rFonts w:asciiTheme="minorHAnsi" w:hAnsiTheme="minorHAnsi"/>
          <w:sz w:val="22"/>
          <w:szCs w:val="22"/>
        </w:rPr>
        <w:t>ŽoNFP</w:t>
      </w:r>
      <w:proofErr w:type="spellEnd"/>
      <w:r w:rsidR="00B47E18" w:rsidRPr="002D08EE">
        <w:rPr>
          <w:rFonts w:asciiTheme="minorHAnsi" w:hAnsiTheme="minorHAnsi"/>
          <w:sz w:val="22"/>
          <w:szCs w:val="22"/>
        </w:rPr>
        <w:t xml:space="preserve"> (celková dĺžka času potrebná na vydanie rozhodnutia o </w:t>
      </w:r>
      <w:proofErr w:type="spellStart"/>
      <w:r w:rsidR="00B47E18" w:rsidRPr="002D08EE">
        <w:rPr>
          <w:rFonts w:asciiTheme="minorHAnsi" w:hAnsiTheme="minorHAnsi"/>
          <w:sz w:val="22"/>
          <w:szCs w:val="22"/>
        </w:rPr>
        <w:t>ŽoNFP</w:t>
      </w:r>
      <w:proofErr w:type="spellEnd"/>
      <w:r w:rsidR="00B47E18" w:rsidRPr="002D08EE">
        <w:rPr>
          <w:rFonts w:asciiTheme="minorHAnsi" w:hAnsiTheme="minorHAnsi"/>
          <w:sz w:val="22"/>
          <w:szCs w:val="22"/>
        </w:rPr>
        <w:t xml:space="preserve">), vrátane možnosti prípadného predĺženia lehoty v prípadoch, kedy nie je možné ukončiť konanie v určenej lehote a RO bola udelená výnimka z maximálnej dĺžky na schvaľovací proces v súlade s kapitolou 1.2, ods. 3, písm. d) Systému riadenia EŠIF. </w:t>
      </w:r>
    </w:p>
    <w:p w:rsidR="006829FC" w:rsidRPr="00CF63F4" w:rsidRDefault="006829FC" w:rsidP="00727285">
      <w:pPr>
        <w:pStyle w:val="Odsekzoznamu"/>
        <w:numPr>
          <w:ilvl w:val="1"/>
          <w:numId w:val="1"/>
        </w:numPr>
        <w:spacing w:before="120" w:after="120"/>
        <w:rPr>
          <w:b/>
        </w:rPr>
      </w:pPr>
      <w:r w:rsidRPr="00CF63F4">
        <w:rPr>
          <w:b/>
        </w:rPr>
        <w:t xml:space="preserve">Miesto a spôsob podania </w:t>
      </w:r>
      <w:proofErr w:type="spellStart"/>
      <w:r w:rsidRPr="00CF63F4">
        <w:rPr>
          <w:b/>
        </w:rPr>
        <w:t>ŽoNFP</w:t>
      </w:r>
      <w:proofErr w:type="spellEnd"/>
    </w:p>
    <w:p w:rsidR="00D572F8" w:rsidRDefault="00AE6D4D" w:rsidP="007775EB">
      <w:pPr>
        <w:pStyle w:val="Default"/>
        <w:jc w:val="both"/>
        <w:rPr>
          <w:sz w:val="23"/>
          <w:szCs w:val="23"/>
        </w:rPr>
      </w:pPr>
      <w:r w:rsidRPr="002D08EE">
        <w:rPr>
          <w:rFonts w:asciiTheme="minorHAnsi" w:hAnsiTheme="minorHAnsi" w:cs="Times New Roman"/>
          <w:sz w:val="22"/>
          <w:szCs w:val="22"/>
        </w:rPr>
        <w:t xml:space="preserve">Žiadateľ je povinný predložiť žiadosť o NFP </w:t>
      </w:r>
      <w:r w:rsidR="00D572F8" w:rsidRPr="00D572F8">
        <w:rPr>
          <w:sz w:val="23"/>
          <w:szCs w:val="23"/>
        </w:rPr>
        <w:t>riadne, včas a v určenej forme</w:t>
      </w:r>
      <w:r w:rsidR="00D572F8">
        <w:rPr>
          <w:sz w:val="23"/>
          <w:szCs w:val="23"/>
        </w:rPr>
        <w:t xml:space="preserve">: </w:t>
      </w:r>
    </w:p>
    <w:p w:rsidR="00D572F8" w:rsidRDefault="00AE6D4D" w:rsidP="007775EB">
      <w:pPr>
        <w:pStyle w:val="Default"/>
        <w:jc w:val="both"/>
        <w:rPr>
          <w:rFonts w:asciiTheme="minorHAnsi" w:hAnsiTheme="minorHAnsi" w:cs="Times New Roman"/>
          <w:sz w:val="22"/>
          <w:szCs w:val="22"/>
        </w:rPr>
      </w:pPr>
      <w:r w:rsidRPr="007775EB">
        <w:rPr>
          <w:rFonts w:asciiTheme="minorHAnsi" w:hAnsiTheme="minorHAnsi" w:cs="Times New Roman"/>
          <w:b/>
          <w:sz w:val="22"/>
          <w:szCs w:val="22"/>
        </w:rPr>
        <w:t>elektronicky</w:t>
      </w:r>
      <w:r w:rsidRPr="002D08EE">
        <w:rPr>
          <w:rFonts w:asciiTheme="minorHAnsi" w:hAnsiTheme="minorHAnsi" w:cs="Times New Roman"/>
          <w:sz w:val="22"/>
          <w:szCs w:val="22"/>
        </w:rPr>
        <w:t xml:space="preserve">, prostredníctvom ITMS2014+ </w:t>
      </w:r>
    </w:p>
    <w:p w:rsidR="00AE6D4D" w:rsidRPr="007775EB" w:rsidRDefault="00AE6D4D" w:rsidP="007775EB">
      <w:pPr>
        <w:pStyle w:val="Default"/>
        <w:jc w:val="both"/>
        <w:rPr>
          <w:rFonts w:ascii="Times New Roman" w:hAnsi="Times New Roman" w:cs="Times New Roman"/>
        </w:rPr>
      </w:pPr>
      <w:r w:rsidRPr="007775EB">
        <w:rPr>
          <w:rFonts w:asciiTheme="minorHAnsi" w:hAnsiTheme="minorHAnsi" w:cs="Times New Roman"/>
          <w:b/>
          <w:sz w:val="22"/>
          <w:szCs w:val="22"/>
        </w:rPr>
        <w:t>a zároveň v písomnej podobe</w:t>
      </w:r>
      <w:r w:rsidRPr="002D08EE">
        <w:rPr>
          <w:rFonts w:asciiTheme="minorHAnsi" w:hAnsiTheme="minorHAnsi" w:cs="Times New Roman"/>
          <w:sz w:val="22"/>
          <w:szCs w:val="22"/>
        </w:rPr>
        <w:t>, spolu so všetkými prílohami v jednom origináli (vytlačenom po</w:t>
      </w:r>
      <w:r w:rsidR="00727285" w:rsidRPr="002D08EE">
        <w:rPr>
          <w:rFonts w:asciiTheme="minorHAnsi" w:hAnsiTheme="minorHAnsi" w:cs="Times New Roman"/>
          <w:sz w:val="22"/>
          <w:szCs w:val="22"/>
        </w:rPr>
        <w:t> </w:t>
      </w:r>
      <w:r w:rsidRPr="002D08EE">
        <w:rPr>
          <w:rFonts w:asciiTheme="minorHAnsi" w:hAnsiTheme="minorHAnsi" w:cs="Times New Roman"/>
          <w:sz w:val="22"/>
          <w:szCs w:val="22"/>
        </w:rPr>
        <w:t>odoslaní prostredníctvom ITMS2014+) a jednej kópii</w:t>
      </w:r>
      <w:r w:rsidR="00D572F8">
        <w:rPr>
          <w:rFonts w:asciiTheme="minorHAnsi" w:hAnsiTheme="minorHAnsi" w:cs="Times New Roman"/>
          <w:sz w:val="22"/>
          <w:szCs w:val="22"/>
        </w:rPr>
        <w:t xml:space="preserve"> jedným z nasledovných spôsobov:</w:t>
      </w:r>
      <w:r w:rsidR="00D572F8" w:rsidRPr="002D08EE">
        <w:rPr>
          <w:rFonts w:asciiTheme="minorHAnsi" w:hAnsiTheme="minorHAnsi" w:cs="Times New Roman"/>
          <w:sz w:val="22"/>
          <w:szCs w:val="22"/>
        </w:rPr>
        <w:t xml:space="preserve"> </w:t>
      </w:r>
    </w:p>
    <w:p w:rsidR="00C92C97" w:rsidRPr="002D08EE" w:rsidRDefault="00C92C97" w:rsidP="002D08EE">
      <w:pPr>
        <w:pStyle w:val="Odsekzoznamu"/>
        <w:numPr>
          <w:ilvl w:val="0"/>
          <w:numId w:val="19"/>
        </w:numPr>
        <w:spacing w:before="240" w:after="240" w:line="276" w:lineRule="auto"/>
        <w:jc w:val="both"/>
        <w:rPr>
          <w:rFonts w:asciiTheme="minorHAnsi" w:hAnsiTheme="minorHAnsi"/>
          <w:sz w:val="22"/>
          <w:szCs w:val="22"/>
        </w:rPr>
      </w:pPr>
      <w:r w:rsidRPr="002D08EE">
        <w:rPr>
          <w:rFonts w:asciiTheme="minorHAnsi" w:hAnsiTheme="minorHAnsi"/>
          <w:sz w:val="22"/>
          <w:szCs w:val="22"/>
        </w:rPr>
        <w:t>doporučenou poštou alebo kuriérskou službou na adresu:</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 xml:space="preserve">Úrad vlády Slovenskej republiky </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 xml:space="preserve">sekcia operačných programov </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odbor implementácie projektov OP TP</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 xml:space="preserve">Námestie slobody 1 </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813 70 Bratislava 15</w:t>
      </w:r>
    </w:p>
    <w:p w:rsidR="00C92C97" w:rsidRPr="00C92C97" w:rsidRDefault="00C92C97" w:rsidP="002D08EE">
      <w:pPr>
        <w:pStyle w:val="Odsekzoznamu"/>
        <w:numPr>
          <w:ilvl w:val="0"/>
          <w:numId w:val="19"/>
        </w:numPr>
        <w:spacing w:before="240" w:after="240" w:line="276" w:lineRule="auto"/>
        <w:jc w:val="both"/>
        <w:rPr>
          <w:rFonts w:asciiTheme="minorHAnsi" w:hAnsiTheme="minorHAnsi"/>
          <w:sz w:val="22"/>
          <w:szCs w:val="22"/>
        </w:rPr>
      </w:pPr>
      <w:r w:rsidRPr="00C92C97">
        <w:rPr>
          <w:rFonts w:asciiTheme="minorHAnsi" w:hAnsiTheme="minorHAnsi"/>
          <w:sz w:val="22"/>
          <w:szCs w:val="22"/>
        </w:rPr>
        <w:t xml:space="preserve">osobne v pracovných dňoch </w:t>
      </w:r>
    </w:p>
    <w:p w:rsidR="00C92C97" w:rsidRPr="00C92C97" w:rsidRDefault="00C92C97" w:rsidP="002D08EE">
      <w:pPr>
        <w:pStyle w:val="Odsekzoznamu"/>
        <w:numPr>
          <w:ilvl w:val="1"/>
          <w:numId w:val="19"/>
        </w:numPr>
        <w:spacing w:before="240" w:after="240" w:line="276" w:lineRule="auto"/>
        <w:jc w:val="both"/>
        <w:rPr>
          <w:rFonts w:asciiTheme="minorHAnsi" w:hAnsiTheme="minorHAnsi"/>
          <w:sz w:val="22"/>
          <w:szCs w:val="22"/>
        </w:rPr>
      </w:pPr>
      <w:r w:rsidRPr="00C92C97">
        <w:rPr>
          <w:rFonts w:asciiTheme="minorHAnsi" w:hAnsiTheme="minorHAnsi"/>
          <w:sz w:val="22"/>
          <w:szCs w:val="22"/>
        </w:rPr>
        <w:t>v čase od 8.00 hod. do 15.00 hod. (obedňajšia prestávka 11.45-12.15 hod):</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 xml:space="preserve">podateľňa Úradu vlády Slovenskej republiky </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 xml:space="preserve">Námestie slobody 1 </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813 70 Bratislava 15</w:t>
      </w:r>
    </w:p>
    <w:p w:rsidR="00C92C97" w:rsidRPr="00C92C97" w:rsidRDefault="00C92C97" w:rsidP="002D08EE">
      <w:pPr>
        <w:pStyle w:val="Odsekzoznamu"/>
        <w:numPr>
          <w:ilvl w:val="1"/>
          <w:numId w:val="19"/>
        </w:numPr>
        <w:spacing w:before="240" w:after="240" w:line="276" w:lineRule="auto"/>
        <w:jc w:val="both"/>
        <w:rPr>
          <w:rFonts w:asciiTheme="minorHAnsi" w:hAnsiTheme="minorHAnsi"/>
          <w:sz w:val="22"/>
          <w:szCs w:val="22"/>
        </w:rPr>
      </w:pPr>
      <w:r w:rsidRPr="00C92C97">
        <w:rPr>
          <w:rFonts w:asciiTheme="minorHAnsi" w:hAnsiTheme="minorHAnsi"/>
          <w:sz w:val="22"/>
          <w:szCs w:val="22"/>
        </w:rPr>
        <w:t>v čase od 8.30 hod. do 14.30 hod. na adresu:</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Úrad vlády Slovenskej republiky</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 xml:space="preserve">sekcia operačných programov </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 xml:space="preserve">odbor implementácie projektov OP TP </w:t>
      </w:r>
    </w:p>
    <w:p w:rsidR="00C92C97" w:rsidRPr="002D08EE" w:rsidRDefault="00C92C97" w:rsidP="002D08EE">
      <w:pPr>
        <w:spacing w:line="276" w:lineRule="auto"/>
        <w:ind w:firstLine="357"/>
        <w:jc w:val="both"/>
        <w:rPr>
          <w:rFonts w:asciiTheme="minorHAnsi" w:hAnsiTheme="minorHAnsi"/>
          <w:sz w:val="22"/>
          <w:szCs w:val="22"/>
        </w:rPr>
      </w:pPr>
      <w:r w:rsidRPr="002D08EE">
        <w:rPr>
          <w:rFonts w:asciiTheme="minorHAnsi" w:hAnsiTheme="minorHAnsi"/>
          <w:sz w:val="22"/>
          <w:szCs w:val="22"/>
        </w:rPr>
        <w:t>Radlinského 13</w:t>
      </w:r>
    </w:p>
    <w:p w:rsidR="00C92C97" w:rsidRPr="002D08EE" w:rsidRDefault="00667992" w:rsidP="002D08EE">
      <w:pPr>
        <w:spacing w:line="276" w:lineRule="auto"/>
        <w:ind w:firstLine="357"/>
        <w:jc w:val="both"/>
        <w:rPr>
          <w:rFonts w:asciiTheme="minorHAnsi" w:hAnsiTheme="minorHAnsi"/>
          <w:sz w:val="22"/>
          <w:szCs w:val="22"/>
        </w:rPr>
      </w:pPr>
      <w:r>
        <w:rPr>
          <w:rFonts w:asciiTheme="minorHAnsi" w:hAnsiTheme="minorHAnsi"/>
          <w:sz w:val="22"/>
          <w:szCs w:val="22"/>
        </w:rPr>
        <w:t xml:space="preserve">811 07 </w:t>
      </w:r>
      <w:r w:rsidR="00C92C97" w:rsidRPr="002D08EE">
        <w:rPr>
          <w:rFonts w:asciiTheme="minorHAnsi" w:hAnsiTheme="minorHAnsi"/>
          <w:sz w:val="22"/>
          <w:szCs w:val="22"/>
        </w:rPr>
        <w:t>Bratislava</w:t>
      </w:r>
      <w:r>
        <w:rPr>
          <w:rFonts w:asciiTheme="minorHAnsi" w:hAnsiTheme="minorHAnsi"/>
          <w:sz w:val="22"/>
          <w:szCs w:val="22"/>
        </w:rPr>
        <w:t xml:space="preserve"> 1</w:t>
      </w:r>
    </w:p>
    <w:p w:rsidR="00AE6D4D" w:rsidRPr="002D08EE" w:rsidRDefault="00AE6D4D" w:rsidP="002D08EE">
      <w:pPr>
        <w:pStyle w:val="Default"/>
        <w:spacing w:line="276" w:lineRule="auto"/>
        <w:ind w:left="709" w:firstLine="426"/>
        <w:rPr>
          <w:rFonts w:asciiTheme="minorHAnsi" w:hAnsiTheme="minorHAnsi" w:cs="Times New Roman"/>
          <w:sz w:val="22"/>
          <w:szCs w:val="22"/>
        </w:rPr>
      </w:pPr>
    </w:p>
    <w:p w:rsidR="00AE6D4D" w:rsidRDefault="00AE6D4D" w:rsidP="002D08EE">
      <w:pPr>
        <w:pStyle w:val="Default"/>
        <w:spacing w:after="120" w:line="276" w:lineRule="auto"/>
        <w:ind w:left="360" w:firstLine="348"/>
        <w:jc w:val="both"/>
        <w:rPr>
          <w:rFonts w:asciiTheme="minorHAnsi" w:hAnsiTheme="minorHAnsi" w:cs="Times New Roman"/>
          <w:sz w:val="22"/>
          <w:szCs w:val="22"/>
        </w:rPr>
      </w:pPr>
      <w:r w:rsidRPr="002D08EE">
        <w:rPr>
          <w:rFonts w:asciiTheme="minorHAnsi" w:hAnsiTheme="minorHAnsi" w:cs="Times New Roman"/>
          <w:sz w:val="22"/>
          <w:szCs w:val="22"/>
        </w:rPr>
        <w:t xml:space="preserve">V prípade, ak žiadateľ nepredloží žiadosť o NFP riadne, včas alebo v určenej forme, riadiaci orgán zastaví konanie vydaním rozhodnutia o zastavení konania o žiadosti o NFP. </w:t>
      </w:r>
    </w:p>
    <w:p w:rsidR="004D3F96" w:rsidRPr="002D08EE" w:rsidRDefault="004D3F96" w:rsidP="002D08EE">
      <w:pPr>
        <w:pStyle w:val="Default"/>
        <w:spacing w:after="120" w:line="276" w:lineRule="auto"/>
        <w:ind w:left="360" w:firstLine="348"/>
        <w:jc w:val="both"/>
        <w:rPr>
          <w:rFonts w:asciiTheme="minorHAnsi" w:hAnsiTheme="minorHAnsi" w:cs="Times New Roman"/>
          <w:sz w:val="22"/>
          <w:szCs w:val="22"/>
        </w:rPr>
      </w:pPr>
      <w:r w:rsidRPr="002D08EE">
        <w:rPr>
          <w:rFonts w:asciiTheme="minorHAnsi" w:hAnsiTheme="minorHAnsi" w:cs="Times New Roman"/>
          <w:sz w:val="22"/>
          <w:szCs w:val="22"/>
        </w:rPr>
        <w:t>V prípade,</w:t>
      </w:r>
      <w:r>
        <w:rPr>
          <w:rFonts w:asciiTheme="minorHAnsi" w:hAnsiTheme="minorHAnsi" w:cs="Times New Roman"/>
          <w:sz w:val="22"/>
          <w:szCs w:val="22"/>
        </w:rPr>
        <w:t xml:space="preserve"> že žiadosť o NFP podpisuje </w:t>
      </w:r>
      <w:r w:rsidRPr="004D3F96">
        <w:rPr>
          <w:rFonts w:asciiTheme="minorHAnsi" w:hAnsiTheme="minorHAnsi" w:cs="Times New Roman"/>
          <w:sz w:val="22"/>
          <w:szCs w:val="22"/>
        </w:rPr>
        <w:t>v mene štatutára splnomocnená osoba</w:t>
      </w:r>
      <w:r w:rsidR="000D6D0F">
        <w:rPr>
          <w:rFonts w:asciiTheme="minorHAnsi" w:hAnsiTheme="minorHAnsi" w:cs="Times New Roman"/>
          <w:sz w:val="22"/>
          <w:szCs w:val="22"/>
        </w:rPr>
        <w:t>,</w:t>
      </w:r>
      <w:r w:rsidRPr="004D3F96">
        <w:rPr>
          <w:rFonts w:asciiTheme="minorHAnsi" w:hAnsiTheme="minorHAnsi" w:cs="Times New Roman"/>
          <w:sz w:val="22"/>
          <w:szCs w:val="22"/>
        </w:rPr>
        <w:t xml:space="preserve"> je žiadateľ povinný predložiť spolu so žiadosťou o NFP aj </w:t>
      </w:r>
      <w:r>
        <w:rPr>
          <w:rFonts w:asciiTheme="minorHAnsi" w:hAnsiTheme="minorHAnsi" w:cs="Times New Roman"/>
          <w:sz w:val="22"/>
          <w:szCs w:val="22"/>
        </w:rPr>
        <w:t>s</w:t>
      </w:r>
      <w:r w:rsidRPr="004D3F96">
        <w:rPr>
          <w:rFonts w:asciiTheme="minorHAnsi" w:hAnsiTheme="minorHAnsi" w:cs="Times New Roman"/>
          <w:sz w:val="22"/>
          <w:szCs w:val="22"/>
        </w:rPr>
        <w:t>plnomoc</w:t>
      </w:r>
      <w:r>
        <w:rPr>
          <w:rFonts w:asciiTheme="minorHAnsi" w:hAnsiTheme="minorHAnsi" w:cs="Times New Roman"/>
          <w:sz w:val="22"/>
          <w:szCs w:val="22"/>
        </w:rPr>
        <w:t>nenie</w:t>
      </w:r>
      <w:r w:rsidRPr="004D3F96">
        <w:rPr>
          <w:rFonts w:asciiTheme="minorHAnsi" w:hAnsiTheme="minorHAnsi" w:cs="Times New Roman"/>
          <w:sz w:val="22"/>
          <w:szCs w:val="22"/>
        </w:rPr>
        <w:t xml:space="preserve"> na tento úkon.</w:t>
      </w:r>
    </w:p>
    <w:p w:rsidR="00AE6D4D" w:rsidRPr="002D08EE" w:rsidRDefault="00AE6D4D" w:rsidP="002D08EE">
      <w:pPr>
        <w:pStyle w:val="Odsekzoznamu"/>
        <w:spacing w:after="120" w:line="276" w:lineRule="auto"/>
        <w:ind w:left="360" w:firstLine="348"/>
        <w:jc w:val="both"/>
        <w:rPr>
          <w:rFonts w:asciiTheme="minorHAnsi" w:hAnsiTheme="minorHAnsi"/>
          <w:sz w:val="22"/>
          <w:szCs w:val="22"/>
        </w:rPr>
      </w:pPr>
      <w:r w:rsidRPr="002D08EE">
        <w:rPr>
          <w:rFonts w:asciiTheme="minorHAnsi" w:hAnsiTheme="minorHAnsi"/>
          <w:sz w:val="22"/>
          <w:szCs w:val="22"/>
        </w:rPr>
        <w:t>Postup pri získavaní prístupu do verejnej časti ITMS2014+ je popísaný na webovom sídle www.ITMS2014.sk v časti ČASTO KLADENÉ OTÁZKY (REGISTRÁCIA DO ITMS2014+).</w:t>
      </w:r>
    </w:p>
    <w:p w:rsidR="00727285" w:rsidRPr="002D08EE" w:rsidRDefault="00727285" w:rsidP="00727285">
      <w:pPr>
        <w:pStyle w:val="Odsekzoznamu"/>
        <w:spacing w:before="120" w:after="120"/>
        <w:ind w:left="360" w:firstLine="348"/>
        <w:jc w:val="both"/>
        <w:rPr>
          <w:rFonts w:asciiTheme="minorHAnsi" w:hAnsiTheme="minorHAnsi"/>
          <w:sz w:val="22"/>
          <w:szCs w:val="22"/>
        </w:rPr>
      </w:pPr>
    </w:p>
    <w:p w:rsidR="006829FC" w:rsidRPr="002D08EE" w:rsidRDefault="006829FC" w:rsidP="00727285">
      <w:pPr>
        <w:pStyle w:val="Odsekzoznamu"/>
        <w:numPr>
          <w:ilvl w:val="1"/>
          <w:numId w:val="1"/>
        </w:numPr>
        <w:spacing w:before="120" w:after="120"/>
        <w:rPr>
          <w:rFonts w:asciiTheme="minorHAnsi" w:hAnsiTheme="minorHAnsi"/>
          <w:b/>
          <w:sz w:val="22"/>
          <w:szCs w:val="22"/>
        </w:rPr>
      </w:pPr>
      <w:r w:rsidRPr="002D08EE">
        <w:rPr>
          <w:rFonts w:asciiTheme="minorHAnsi" w:hAnsiTheme="minorHAnsi"/>
          <w:b/>
          <w:sz w:val="22"/>
          <w:szCs w:val="22"/>
        </w:rPr>
        <w:t>Kontaktné údaje poskytovateľa a spôs</w:t>
      </w:r>
      <w:r w:rsidR="0064265D" w:rsidRPr="002D08EE">
        <w:rPr>
          <w:rFonts w:asciiTheme="minorHAnsi" w:hAnsiTheme="minorHAnsi"/>
          <w:b/>
          <w:sz w:val="22"/>
          <w:szCs w:val="22"/>
        </w:rPr>
        <w:t>ob komunikácie s poskytovateľom</w:t>
      </w:r>
    </w:p>
    <w:p w:rsidR="00AE6D4D" w:rsidRPr="002D08EE" w:rsidRDefault="00AE6D4D" w:rsidP="00727285">
      <w:pPr>
        <w:spacing w:before="120" w:after="120"/>
        <w:ind w:firstLine="360"/>
        <w:jc w:val="both"/>
        <w:rPr>
          <w:rFonts w:asciiTheme="minorHAnsi" w:hAnsiTheme="minorHAnsi"/>
          <w:sz w:val="22"/>
          <w:szCs w:val="22"/>
        </w:rPr>
      </w:pPr>
      <w:r w:rsidRPr="002D08EE">
        <w:rPr>
          <w:rFonts w:asciiTheme="minorHAnsi" w:hAnsiTheme="minorHAnsi"/>
          <w:sz w:val="22"/>
          <w:szCs w:val="22"/>
        </w:rPr>
        <w:t xml:space="preserve">Všeobecné informácie o operačnom programe Technická pomoc a podporné dokumenty sú zverejnené na webovom sídle Úradu vlády Slovenskej republiky </w:t>
      </w:r>
      <w:hyperlink r:id="rId9" w:history="1">
        <w:r w:rsidRPr="002D08EE">
          <w:rPr>
            <w:rStyle w:val="Hypertextovprepojenie"/>
            <w:rFonts w:asciiTheme="minorHAnsi" w:hAnsiTheme="minorHAnsi"/>
            <w:sz w:val="22"/>
            <w:szCs w:val="22"/>
          </w:rPr>
          <w:t>http://optp.vlada.gov.sk</w:t>
        </w:r>
      </w:hyperlink>
      <w:r w:rsidRPr="002D08EE">
        <w:rPr>
          <w:rFonts w:asciiTheme="minorHAnsi" w:hAnsiTheme="minorHAnsi"/>
          <w:sz w:val="22"/>
          <w:szCs w:val="22"/>
        </w:rPr>
        <w:t>.</w:t>
      </w:r>
    </w:p>
    <w:p w:rsidR="0064265D" w:rsidRPr="002D08EE" w:rsidRDefault="0064265D" w:rsidP="00727285">
      <w:pPr>
        <w:pStyle w:val="Default"/>
        <w:spacing w:before="120" w:after="120"/>
        <w:rPr>
          <w:rFonts w:asciiTheme="minorHAnsi" w:hAnsiTheme="minorHAnsi" w:cs="Times New Roman"/>
          <w:sz w:val="22"/>
          <w:szCs w:val="22"/>
        </w:rPr>
      </w:pPr>
    </w:p>
    <w:p w:rsidR="00AE6D4D" w:rsidRPr="002D08EE" w:rsidRDefault="00AE6D4D" w:rsidP="00727285">
      <w:pPr>
        <w:pStyle w:val="Default"/>
        <w:spacing w:before="120" w:after="120"/>
        <w:rPr>
          <w:rFonts w:asciiTheme="minorHAnsi" w:hAnsiTheme="minorHAnsi" w:cs="Times New Roman"/>
          <w:sz w:val="22"/>
          <w:szCs w:val="22"/>
        </w:rPr>
      </w:pPr>
      <w:r w:rsidRPr="002D08EE">
        <w:rPr>
          <w:rFonts w:asciiTheme="minorHAnsi" w:hAnsiTheme="minorHAnsi" w:cs="Times New Roman"/>
          <w:sz w:val="22"/>
          <w:szCs w:val="22"/>
        </w:rPr>
        <w:t xml:space="preserve">Bližšie informácie, týkajúce sa vyzvania a prípravy žiadosti o NFP je možné získať: </w:t>
      </w:r>
    </w:p>
    <w:p w:rsidR="00AE6D4D" w:rsidRPr="002D08EE" w:rsidRDefault="00AE6D4D" w:rsidP="0064265D">
      <w:pPr>
        <w:pStyle w:val="Default"/>
        <w:numPr>
          <w:ilvl w:val="0"/>
          <w:numId w:val="11"/>
        </w:numPr>
        <w:spacing w:before="120" w:after="120"/>
        <w:rPr>
          <w:rFonts w:asciiTheme="minorHAnsi" w:hAnsiTheme="minorHAnsi" w:cs="Times New Roman"/>
          <w:sz w:val="22"/>
          <w:szCs w:val="22"/>
        </w:rPr>
      </w:pPr>
      <w:r w:rsidRPr="002D08EE">
        <w:rPr>
          <w:rFonts w:asciiTheme="minorHAnsi" w:hAnsiTheme="minorHAnsi" w:cs="Times New Roman"/>
          <w:sz w:val="22"/>
          <w:szCs w:val="22"/>
        </w:rPr>
        <w:t xml:space="preserve">telefonicky na telefónnych číslach: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02/20 925 902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02/20 925 977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02/20 925 718 </w:t>
      </w:r>
    </w:p>
    <w:p w:rsidR="00AE6D4D" w:rsidRPr="002D08EE" w:rsidRDefault="00AE6D4D" w:rsidP="002D08EE">
      <w:pPr>
        <w:pStyle w:val="Default"/>
        <w:numPr>
          <w:ilvl w:val="0"/>
          <w:numId w:val="11"/>
        </w:numPr>
        <w:spacing w:line="276" w:lineRule="auto"/>
        <w:rPr>
          <w:rFonts w:asciiTheme="minorHAnsi" w:hAnsiTheme="minorHAnsi" w:cs="Times New Roman"/>
          <w:sz w:val="22"/>
          <w:szCs w:val="22"/>
        </w:rPr>
      </w:pPr>
      <w:r w:rsidRPr="002D08EE">
        <w:rPr>
          <w:rFonts w:asciiTheme="minorHAnsi" w:hAnsiTheme="minorHAnsi" w:cs="Times New Roman"/>
          <w:sz w:val="22"/>
          <w:szCs w:val="22"/>
        </w:rPr>
        <w:t xml:space="preserve">e-mailom na adrese: </w:t>
      </w:r>
      <w:hyperlink r:id="rId10" w:history="1">
        <w:r w:rsidR="008216B8" w:rsidRPr="002D08EE">
          <w:rPr>
            <w:rStyle w:val="Hypertextovprepojenie"/>
            <w:rFonts w:asciiTheme="minorHAnsi" w:hAnsiTheme="minorHAnsi" w:cs="Times New Roman"/>
            <w:sz w:val="22"/>
            <w:szCs w:val="22"/>
          </w:rPr>
          <w:t>projektyoptp@vlada.gov.sk</w:t>
        </w:r>
      </w:hyperlink>
      <w:r w:rsidR="008216B8" w:rsidRPr="002D08EE">
        <w:rPr>
          <w:rFonts w:asciiTheme="minorHAnsi" w:hAnsiTheme="minorHAnsi" w:cs="Times New Roman"/>
          <w:sz w:val="22"/>
          <w:szCs w:val="22"/>
        </w:rPr>
        <w:t xml:space="preserve"> </w:t>
      </w:r>
      <w:r w:rsidRPr="002D08EE">
        <w:rPr>
          <w:rFonts w:asciiTheme="minorHAnsi" w:hAnsiTheme="minorHAnsi" w:cs="Times New Roman"/>
          <w:sz w:val="22"/>
          <w:szCs w:val="22"/>
        </w:rPr>
        <w:t xml:space="preserve"> </w:t>
      </w:r>
    </w:p>
    <w:p w:rsidR="00AE6D4D" w:rsidRPr="002D08EE" w:rsidRDefault="00AE6D4D" w:rsidP="002D08EE">
      <w:pPr>
        <w:pStyle w:val="Default"/>
        <w:numPr>
          <w:ilvl w:val="0"/>
          <w:numId w:val="11"/>
        </w:numPr>
        <w:spacing w:line="276" w:lineRule="auto"/>
        <w:jc w:val="both"/>
        <w:rPr>
          <w:rFonts w:asciiTheme="minorHAnsi" w:hAnsiTheme="minorHAnsi" w:cs="Times New Roman"/>
          <w:sz w:val="22"/>
          <w:szCs w:val="22"/>
        </w:rPr>
      </w:pPr>
      <w:r w:rsidRPr="002D08EE">
        <w:rPr>
          <w:rFonts w:asciiTheme="minorHAnsi" w:hAnsiTheme="minorHAnsi" w:cs="Times New Roman"/>
          <w:sz w:val="22"/>
          <w:szCs w:val="22"/>
        </w:rPr>
        <w:t xml:space="preserve">písomne na kontaktnej adrese riadiaceho orgánu pre operačný program Technická pomoc: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Úrad vlády SR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sekcia operačných programov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odbor implementácie projektov OP TP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Námestie slobody 1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813 70 Bratislava 15 </w:t>
      </w:r>
    </w:p>
    <w:p w:rsidR="00AE6D4D" w:rsidRPr="002D08EE" w:rsidRDefault="00AE6D4D" w:rsidP="002D08EE">
      <w:pPr>
        <w:pStyle w:val="Default"/>
        <w:numPr>
          <w:ilvl w:val="0"/>
          <w:numId w:val="11"/>
        </w:numPr>
        <w:spacing w:line="276" w:lineRule="auto"/>
        <w:rPr>
          <w:rFonts w:asciiTheme="minorHAnsi" w:hAnsiTheme="minorHAnsi" w:cs="Times New Roman"/>
          <w:sz w:val="22"/>
          <w:szCs w:val="22"/>
        </w:rPr>
      </w:pPr>
      <w:r w:rsidRPr="002D08EE">
        <w:rPr>
          <w:rFonts w:asciiTheme="minorHAnsi" w:hAnsiTheme="minorHAnsi" w:cs="Times New Roman"/>
          <w:sz w:val="22"/>
          <w:szCs w:val="22"/>
        </w:rPr>
        <w:t xml:space="preserve">osobne v pracovných dňoch v čase od 8.30 hod. do 14.30 hod. na kontaktnej adrese: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Úrad vlády SR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sekcia operačných programov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odbor implementácie projektov OP TP </w:t>
      </w:r>
    </w:p>
    <w:p w:rsidR="00AE6D4D" w:rsidRPr="002D08EE" w:rsidRDefault="00AE6D4D"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 xml:space="preserve">Radlinského 13 </w:t>
      </w:r>
    </w:p>
    <w:p w:rsidR="00AE6D4D" w:rsidRPr="002D08EE" w:rsidRDefault="00D23130" w:rsidP="002D08EE">
      <w:pPr>
        <w:pStyle w:val="Default"/>
        <w:spacing w:line="276" w:lineRule="auto"/>
        <w:ind w:left="709"/>
        <w:rPr>
          <w:rFonts w:asciiTheme="minorHAnsi" w:hAnsiTheme="minorHAnsi" w:cs="Times New Roman"/>
          <w:sz w:val="22"/>
          <w:szCs w:val="22"/>
        </w:rPr>
      </w:pPr>
      <w:r w:rsidRPr="002D08EE">
        <w:rPr>
          <w:rFonts w:asciiTheme="minorHAnsi" w:hAnsiTheme="minorHAnsi" w:cs="Times New Roman"/>
          <w:sz w:val="22"/>
          <w:szCs w:val="22"/>
        </w:rPr>
        <w:t>81</w:t>
      </w:r>
      <w:r>
        <w:rPr>
          <w:rFonts w:asciiTheme="minorHAnsi" w:hAnsiTheme="minorHAnsi" w:cs="Times New Roman"/>
          <w:sz w:val="22"/>
          <w:szCs w:val="22"/>
        </w:rPr>
        <w:t>1</w:t>
      </w:r>
      <w:r w:rsidRPr="002D08EE">
        <w:rPr>
          <w:rFonts w:asciiTheme="minorHAnsi" w:hAnsiTheme="minorHAnsi" w:cs="Times New Roman"/>
          <w:sz w:val="22"/>
          <w:szCs w:val="22"/>
        </w:rPr>
        <w:t xml:space="preserve"> </w:t>
      </w:r>
      <w:r>
        <w:rPr>
          <w:rFonts w:asciiTheme="minorHAnsi" w:hAnsiTheme="minorHAnsi" w:cs="Times New Roman"/>
          <w:sz w:val="22"/>
          <w:szCs w:val="22"/>
        </w:rPr>
        <w:t>07</w:t>
      </w:r>
      <w:r w:rsidRPr="002D08EE">
        <w:rPr>
          <w:rFonts w:asciiTheme="minorHAnsi" w:hAnsiTheme="minorHAnsi" w:cs="Times New Roman"/>
          <w:sz w:val="22"/>
          <w:szCs w:val="22"/>
        </w:rPr>
        <w:t xml:space="preserve"> </w:t>
      </w:r>
      <w:r w:rsidR="00AE6D4D" w:rsidRPr="002D08EE">
        <w:rPr>
          <w:rFonts w:asciiTheme="minorHAnsi" w:hAnsiTheme="minorHAnsi" w:cs="Times New Roman"/>
          <w:sz w:val="22"/>
          <w:szCs w:val="22"/>
        </w:rPr>
        <w:t xml:space="preserve">Bratislava </w:t>
      </w:r>
    </w:p>
    <w:p w:rsidR="00AE6D4D" w:rsidRPr="002D08EE" w:rsidRDefault="00AE6D4D" w:rsidP="0064265D">
      <w:pPr>
        <w:pStyle w:val="Default"/>
        <w:spacing w:before="120" w:after="120"/>
        <w:ind w:firstLine="360"/>
        <w:jc w:val="both"/>
        <w:rPr>
          <w:rFonts w:asciiTheme="minorHAnsi" w:hAnsiTheme="minorHAnsi" w:cs="Times New Roman"/>
          <w:sz w:val="22"/>
          <w:szCs w:val="22"/>
        </w:rPr>
      </w:pPr>
      <w:r w:rsidRPr="002D08EE">
        <w:rPr>
          <w:rFonts w:asciiTheme="minorHAnsi" w:hAnsiTheme="minorHAnsi" w:cs="Times New Roman"/>
          <w:sz w:val="22"/>
          <w:szCs w:val="22"/>
        </w:rPr>
        <w:t xml:space="preserve">V prípade záujmu o osobnú konzultáciu s pracovníkmi RO OP TP je nutné vopred si dohodnúť termín stretnutia. </w:t>
      </w:r>
    </w:p>
    <w:p w:rsidR="00AE6D4D" w:rsidRDefault="00AE6D4D" w:rsidP="00727285">
      <w:pPr>
        <w:spacing w:before="120" w:after="120"/>
        <w:ind w:firstLine="360"/>
        <w:jc w:val="both"/>
        <w:rPr>
          <w:rFonts w:asciiTheme="minorHAnsi" w:hAnsiTheme="minorHAnsi"/>
          <w:sz w:val="22"/>
          <w:szCs w:val="22"/>
        </w:rPr>
      </w:pPr>
      <w:r w:rsidRPr="002D08EE">
        <w:rPr>
          <w:rFonts w:asciiTheme="minorHAnsi" w:hAnsiTheme="minorHAnsi"/>
          <w:sz w:val="22"/>
          <w:szCs w:val="22"/>
        </w:rPr>
        <w:t>Záväzné informácie sú žiadateľom poskytované výlučne v písomnej forme. Informácie poskytované ústne nemajú záväzný charakter a žiadateľ sa na ne nemôže odvolávať.</w:t>
      </w:r>
    </w:p>
    <w:p w:rsidR="002A7815" w:rsidRPr="002D08EE" w:rsidRDefault="002A7815" w:rsidP="00727285">
      <w:pPr>
        <w:spacing w:before="120" w:after="120"/>
        <w:ind w:firstLine="360"/>
        <w:jc w:val="both"/>
        <w:rPr>
          <w:rFonts w:asciiTheme="minorHAnsi" w:hAnsiTheme="minorHAnsi"/>
          <w:sz w:val="22"/>
          <w:szCs w:val="22"/>
        </w:rPr>
      </w:pPr>
    </w:p>
    <w:p w:rsidR="006829FC" w:rsidRPr="002D08EE" w:rsidRDefault="006829FC" w:rsidP="00727285">
      <w:pPr>
        <w:pStyle w:val="Odsekzoznamu"/>
        <w:numPr>
          <w:ilvl w:val="1"/>
          <w:numId w:val="1"/>
        </w:numPr>
        <w:spacing w:before="120" w:after="120"/>
        <w:rPr>
          <w:rFonts w:asciiTheme="minorHAnsi" w:hAnsiTheme="minorHAnsi"/>
          <w:b/>
          <w:sz w:val="22"/>
          <w:szCs w:val="22"/>
        </w:rPr>
      </w:pPr>
      <w:r w:rsidRPr="002D08EE">
        <w:rPr>
          <w:rFonts w:asciiTheme="minorHAnsi" w:hAnsiTheme="minorHAnsi"/>
          <w:b/>
          <w:sz w:val="22"/>
          <w:szCs w:val="22"/>
        </w:rPr>
        <w:tab/>
        <w:t>Ďalšie formálne náležitosti</w:t>
      </w:r>
    </w:p>
    <w:p w:rsidR="006829FC" w:rsidRPr="002D08EE" w:rsidRDefault="00AE6D4D" w:rsidP="002D08EE">
      <w:pPr>
        <w:spacing w:after="120" w:line="276" w:lineRule="auto"/>
        <w:ind w:firstLine="357"/>
        <w:jc w:val="both"/>
        <w:rPr>
          <w:rFonts w:asciiTheme="minorHAnsi" w:hAnsiTheme="minorHAnsi"/>
          <w:sz w:val="22"/>
          <w:szCs w:val="22"/>
        </w:rPr>
      </w:pPr>
      <w:r w:rsidRPr="002D08EE">
        <w:rPr>
          <w:rFonts w:asciiTheme="minorHAnsi" w:hAnsiTheme="minorHAnsi"/>
          <w:sz w:val="22"/>
          <w:szCs w:val="22"/>
        </w:rPr>
        <w:t>Žiadateľ vychádza pri príprave žiadosti o NFP z podpornej dokumentácie zverejnenej na</w:t>
      </w:r>
      <w:r w:rsidR="0064265D" w:rsidRPr="002D08EE">
        <w:rPr>
          <w:rFonts w:asciiTheme="minorHAnsi" w:hAnsiTheme="minorHAnsi"/>
          <w:sz w:val="22"/>
          <w:szCs w:val="22"/>
        </w:rPr>
        <w:t> </w:t>
      </w:r>
      <w:hyperlink r:id="rId11" w:history="1">
        <w:r w:rsidR="00723C75" w:rsidRPr="002D08EE">
          <w:rPr>
            <w:rStyle w:val="Hypertextovprepojenie"/>
            <w:rFonts w:asciiTheme="minorHAnsi" w:hAnsiTheme="minorHAnsi"/>
            <w:sz w:val="22"/>
            <w:szCs w:val="22"/>
          </w:rPr>
          <w:t>http://optp.vlada.gov.sk</w:t>
        </w:r>
      </w:hyperlink>
      <w:r w:rsidR="00723C75" w:rsidRPr="002D08EE">
        <w:rPr>
          <w:rFonts w:asciiTheme="minorHAnsi" w:hAnsiTheme="minorHAnsi"/>
          <w:sz w:val="22"/>
          <w:szCs w:val="22"/>
        </w:rPr>
        <w:t xml:space="preserve"> </w:t>
      </w:r>
      <w:r w:rsidRPr="002D08EE">
        <w:rPr>
          <w:rFonts w:asciiTheme="minorHAnsi" w:hAnsiTheme="minorHAnsi"/>
          <w:sz w:val="22"/>
          <w:szCs w:val="22"/>
        </w:rPr>
        <w:t xml:space="preserve"> a tiež z relevantných Metodických pokynov CKO zverejnených na</w:t>
      </w:r>
      <w:r w:rsidR="0064265D" w:rsidRPr="002D08EE">
        <w:rPr>
          <w:rFonts w:asciiTheme="minorHAnsi" w:hAnsiTheme="minorHAnsi"/>
          <w:sz w:val="22"/>
          <w:szCs w:val="22"/>
        </w:rPr>
        <w:t> </w:t>
      </w:r>
      <w:r w:rsidRPr="002D08EE">
        <w:rPr>
          <w:rFonts w:asciiTheme="minorHAnsi" w:hAnsiTheme="minorHAnsi"/>
          <w:sz w:val="22"/>
          <w:szCs w:val="22"/>
        </w:rPr>
        <w:t xml:space="preserve">webovom sídle </w:t>
      </w:r>
      <w:hyperlink r:id="rId12" w:history="1">
        <w:r w:rsidR="0064265D" w:rsidRPr="002D08EE">
          <w:rPr>
            <w:rStyle w:val="Hypertextovprepojenie"/>
            <w:rFonts w:asciiTheme="minorHAnsi" w:hAnsiTheme="minorHAnsi"/>
            <w:sz w:val="22"/>
            <w:szCs w:val="22"/>
          </w:rPr>
          <w:t>http://www.partnerskadohoda.gov.sk/</w:t>
        </w:r>
      </w:hyperlink>
      <w:r w:rsidRPr="002D08EE">
        <w:rPr>
          <w:rFonts w:asciiTheme="minorHAnsi" w:hAnsiTheme="minorHAnsi"/>
          <w:sz w:val="22"/>
          <w:szCs w:val="22"/>
        </w:rPr>
        <w:t>.</w:t>
      </w:r>
    </w:p>
    <w:p w:rsidR="0064265D" w:rsidRPr="002D08EE" w:rsidRDefault="0064265D" w:rsidP="00727285">
      <w:pPr>
        <w:spacing w:before="120" w:after="120"/>
        <w:ind w:firstLine="360"/>
        <w:rPr>
          <w:rFonts w:asciiTheme="minorHAnsi" w:hAnsiTheme="minorHAnsi"/>
          <w:sz w:val="22"/>
          <w:szCs w:val="22"/>
        </w:rPr>
      </w:pPr>
    </w:p>
    <w:p w:rsidR="002A7815" w:rsidRDefault="002A7815">
      <w:pPr>
        <w:spacing w:after="200" w:line="276" w:lineRule="auto"/>
        <w:rPr>
          <w:b/>
          <w:sz w:val="28"/>
          <w:szCs w:val="28"/>
        </w:rPr>
      </w:pPr>
    </w:p>
    <w:p w:rsidR="006829FC" w:rsidRPr="002D08EE" w:rsidRDefault="006829FC" w:rsidP="00727285">
      <w:pPr>
        <w:pStyle w:val="Odsekzoznamu"/>
        <w:numPr>
          <w:ilvl w:val="0"/>
          <w:numId w:val="1"/>
        </w:numPr>
        <w:pBdr>
          <w:top w:val="single" w:sz="4" w:space="1" w:color="auto"/>
          <w:left w:val="single" w:sz="4" w:space="4" w:color="auto"/>
          <w:bottom w:val="single" w:sz="4" w:space="1" w:color="auto"/>
          <w:right w:val="single" w:sz="4" w:space="4" w:color="auto"/>
        </w:pBdr>
        <w:shd w:val="clear" w:color="auto" w:fill="CCC0D9" w:themeFill="accent4" w:themeFillTint="66"/>
        <w:spacing w:before="120" w:after="120"/>
        <w:jc w:val="center"/>
        <w:rPr>
          <w:b/>
          <w:sz w:val="28"/>
          <w:szCs w:val="28"/>
        </w:rPr>
      </w:pPr>
      <w:r w:rsidRPr="002D08EE">
        <w:rPr>
          <w:b/>
          <w:sz w:val="28"/>
          <w:szCs w:val="28"/>
        </w:rPr>
        <w:t>Podmienky poskytnutia príspevku</w:t>
      </w:r>
    </w:p>
    <w:p w:rsidR="006829FC" w:rsidRPr="002D08EE" w:rsidRDefault="006829FC" w:rsidP="00727285">
      <w:pPr>
        <w:pStyle w:val="Odsekzoznamu"/>
        <w:spacing w:before="120" w:after="120"/>
        <w:rPr>
          <w:rFonts w:asciiTheme="minorHAnsi" w:hAnsiTheme="minorHAnsi"/>
          <w:b/>
          <w:sz w:val="22"/>
          <w:szCs w:val="22"/>
        </w:rPr>
      </w:pPr>
    </w:p>
    <w:p w:rsidR="006829FC" w:rsidRPr="002D08EE" w:rsidRDefault="006829FC" w:rsidP="00727285">
      <w:pPr>
        <w:pStyle w:val="Odsekzoznamu"/>
        <w:numPr>
          <w:ilvl w:val="1"/>
          <w:numId w:val="1"/>
        </w:numPr>
        <w:spacing w:before="120" w:after="120"/>
        <w:rPr>
          <w:rFonts w:asciiTheme="minorHAnsi" w:hAnsiTheme="minorHAnsi"/>
          <w:b/>
          <w:sz w:val="22"/>
          <w:szCs w:val="22"/>
        </w:rPr>
      </w:pPr>
      <w:r w:rsidRPr="002D08EE">
        <w:rPr>
          <w:rFonts w:asciiTheme="minorHAnsi" w:hAnsiTheme="minorHAnsi"/>
          <w:b/>
          <w:sz w:val="22"/>
          <w:szCs w:val="22"/>
        </w:rPr>
        <w:t>Oprávnenosť žiadateľa</w:t>
      </w:r>
    </w:p>
    <w:p w:rsidR="002B6CE1" w:rsidRPr="002D08EE" w:rsidRDefault="002B6CE1" w:rsidP="00727285">
      <w:pPr>
        <w:spacing w:before="120" w:after="120"/>
        <w:ind w:firstLine="360"/>
        <w:jc w:val="both"/>
        <w:rPr>
          <w:rFonts w:asciiTheme="minorHAnsi" w:hAnsiTheme="minorHAnsi"/>
          <w:sz w:val="22"/>
          <w:szCs w:val="22"/>
          <w:u w:val="single"/>
        </w:rPr>
      </w:pPr>
      <w:r w:rsidRPr="002D08EE">
        <w:rPr>
          <w:rFonts w:asciiTheme="minorHAnsi" w:hAnsiTheme="minorHAnsi"/>
          <w:sz w:val="22"/>
          <w:szCs w:val="22"/>
          <w:u w:val="single"/>
        </w:rPr>
        <w:t>Oprávnený žiadateľ:</w:t>
      </w:r>
    </w:p>
    <w:p w:rsidR="00A20759" w:rsidRPr="002D08EE" w:rsidRDefault="00A20759" w:rsidP="008216B8">
      <w:pPr>
        <w:pStyle w:val="Odsekzoznamu"/>
        <w:numPr>
          <w:ilvl w:val="0"/>
          <w:numId w:val="7"/>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Úrad podpredsedu vlády SR pre investície a informatizáciu ako CKO </w:t>
      </w:r>
    </w:p>
    <w:p w:rsidR="006D79B5" w:rsidRPr="002D08EE" w:rsidRDefault="006D79B5" w:rsidP="006D79B5">
      <w:pPr>
        <w:autoSpaceDE w:val="0"/>
        <w:autoSpaceDN w:val="0"/>
        <w:adjustRightInd w:val="0"/>
        <w:spacing w:before="120" w:after="120"/>
        <w:ind w:left="360"/>
        <w:rPr>
          <w:rFonts w:asciiTheme="minorHAnsi" w:eastAsiaTheme="minorHAnsi" w:hAnsiTheme="minorHAnsi"/>
          <w:color w:val="000000"/>
          <w:sz w:val="22"/>
          <w:szCs w:val="22"/>
          <w:u w:val="single"/>
          <w:lang w:eastAsia="en-US"/>
        </w:rPr>
      </w:pPr>
      <w:r w:rsidRPr="002D08EE">
        <w:rPr>
          <w:rFonts w:asciiTheme="minorHAnsi" w:eastAsiaTheme="minorHAnsi" w:hAnsiTheme="minorHAnsi"/>
          <w:color w:val="000000"/>
          <w:sz w:val="22"/>
          <w:szCs w:val="22"/>
          <w:u w:val="single"/>
          <w:lang w:eastAsia="en-US"/>
        </w:rPr>
        <w:t xml:space="preserve">Podmienky oprávnenosti žiadateľa: </w:t>
      </w:r>
    </w:p>
    <w:p w:rsidR="006D79B5" w:rsidRPr="002D08EE" w:rsidRDefault="006D79B5" w:rsidP="006D79B5">
      <w:pPr>
        <w:pStyle w:val="Odsekzoznamu"/>
        <w:numPr>
          <w:ilvl w:val="0"/>
          <w:numId w:val="7"/>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všetci členovia štatutárneho orgánu žiadateľa a osoba splnomocnená zastupovať žiadateľa v konaní o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neboli právoplatne odsúdení za trestný čin korupcie, trestný čin poškodzovania finančných záujmov ES, trestný čin legalizácie príjmu z trestnej činnosti, trestný čin založenia, zosnovania a podporovania zločineckej skupiny alebo trestný čin machinácií pri verejnom obstarávaní a verejnej dražbe </w:t>
      </w:r>
    </w:p>
    <w:p w:rsidR="006D79B5" w:rsidRPr="002D08EE" w:rsidRDefault="006D79B5" w:rsidP="006D79B5">
      <w:pPr>
        <w:autoSpaceDE w:val="0"/>
        <w:autoSpaceDN w:val="0"/>
        <w:adjustRightInd w:val="0"/>
        <w:spacing w:before="120" w:after="120"/>
        <w:ind w:firstLine="708"/>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(podmienka sa preukazuje čestným vyhlásením žiadateľa ako súčasť žiadosti o NFP) </w:t>
      </w:r>
    </w:p>
    <w:p w:rsidR="006D79B5" w:rsidRPr="002D08EE" w:rsidRDefault="006D79B5" w:rsidP="006D79B5">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nebyť dlžníkom na daniach, nebyť dlžníkom poistného na zdravotnom a sociálnom poistení </w:t>
      </w:r>
    </w:p>
    <w:p w:rsidR="006D79B5" w:rsidRPr="002D08EE" w:rsidRDefault="006D79B5" w:rsidP="006D79B5">
      <w:pPr>
        <w:pStyle w:val="Odsekzoznamu"/>
        <w:autoSpaceDE w:val="0"/>
        <w:autoSpaceDN w:val="0"/>
        <w:adjustRightInd w:val="0"/>
        <w:spacing w:before="120" w:after="120"/>
        <w:ind w:left="714"/>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(podmienka sa preukazuje čestným vyhlásením žiadateľa ako súčasť žiadosti o NFP)</w:t>
      </w:r>
    </w:p>
    <w:p w:rsidR="006D79B5" w:rsidRPr="002D08EE" w:rsidRDefault="006D79B5" w:rsidP="006D79B5">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voči žiadateľovi sa nenárokuje vrátenie pomoci na základe rozhodnutia Európskej komisie, ktorým bola pomoc označená za neoprávnenú a nezlučiteľnú so spoločným trhom </w:t>
      </w:r>
    </w:p>
    <w:p w:rsidR="006D79B5" w:rsidRPr="002D08EE" w:rsidRDefault="006D79B5" w:rsidP="006D79B5">
      <w:pPr>
        <w:pStyle w:val="Odsekzoznamu"/>
        <w:autoSpaceDE w:val="0"/>
        <w:autoSpaceDN w:val="0"/>
        <w:adjustRightInd w:val="0"/>
        <w:spacing w:before="120" w:after="120"/>
        <w:ind w:left="714"/>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(podmienka sa preukazuje čestným vyhlásením žiadateľa ako súčasť žiadosti o NFP)</w:t>
      </w:r>
    </w:p>
    <w:p w:rsidR="00C94C49" w:rsidRPr="002D08EE" w:rsidRDefault="00C94C49" w:rsidP="00C94C49">
      <w:p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hAnsiTheme="minorHAnsi"/>
          <w:sz w:val="22"/>
          <w:szCs w:val="22"/>
        </w:rPr>
        <w:t xml:space="preserve">     </w:t>
      </w:r>
      <w:r w:rsidR="00A20759" w:rsidRPr="002D08EE">
        <w:rPr>
          <w:rFonts w:asciiTheme="minorHAnsi" w:hAnsiTheme="minorHAnsi"/>
          <w:sz w:val="22"/>
          <w:szCs w:val="22"/>
          <w:u w:val="single"/>
        </w:rPr>
        <w:t>Oprávnený partner:</w:t>
      </w:r>
    </w:p>
    <w:p w:rsidR="008216B8" w:rsidRPr="002D08EE" w:rsidRDefault="002B6CE1" w:rsidP="008216B8">
      <w:pPr>
        <w:pStyle w:val="Odsekzoznamu"/>
        <w:numPr>
          <w:ilvl w:val="0"/>
          <w:numId w:val="7"/>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vysoké školy </w:t>
      </w:r>
      <w:r w:rsidR="00CE3AFB">
        <w:rPr>
          <w:rFonts w:asciiTheme="minorHAnsi" w:eastAsiaTheme="minorHAnsi" w:hAnsiTheme="minorHAnsi"/>
          <w:color w:val="000000"/>
          <w:sz w:val="22"/>
          <w:szCs w:val="22"/>
          <w:lang w:eastAsia="en-US"/>
        </w:rPr>
        <w:t xml:space="preserve"> (štátne a verejné vysoké školy)</w:t>
      </w:r>
    </w:p>
    <w:p w:rsidR="002B6CE1" w:rsidRPr="002D08EE" w:rsidRDefault="002B6CE1" w:rsidP="00727285">
      <w:pPr>
        <w:autoSpaceDE w:val="0"/>
        <w:autoSpaceDN w:val="0"/>
        <w:adjustRightInd w:val="0"/>
        <w:spacing w:before="120" w:after="120"/>
        <w:ind w:left="360"/>
        <w:rPr>
          <w:rFonts w:asciiTheme="minorHAnsi" w:eastAsiaTheme="minorHAnsi" w:hAnsiTheme="minorHAnsi"/>
          <w:color w:val="000000"/>
          <w:sz w:val="22"/>
          <w:szCs w:val="22"/>
          <w:u w:val="single"/>
          <w:lang w:eastAsia="en-US"/>
        </w:rPr>
      </w:pPr>
      <w:r w:rsidRPr="002D08EE">
        <w:rPr>
          <w:rFonts w:asciiTheme="minorHAnsi" w:eastAsiaTheme="minorHAnsi" w:hAnsiTheme="minorHAnsi"/>
          <w:color w:val="000000"/>
          <w:sz w:val="22"/>
          <w:szCs w:val="22"/>
          <w:u w:val="single"/>
          <w:lang w:eastAsia="en-US"/>
        </w:rPr>
        <w:t xml:space="preserve">Podmienky oprávnenosti </w:t>
      </w:r>
      <w:r w:rsidR="00A20759" w:rsidRPr="002D08EE">
        <w:rPr>
          <w:rFonts w:asciiTheme="minorHAnsi" w:eastAsiaTheme="minorHAnsi" w:hAnsiTheme="minorHAnsi"/>
          <w:color w:val="000000"/>
          <w:sz w:val="22"/>
          <w:szCs w:val="22"/>
          <w:u w:val="single"/>
          <w:lang w:eastAsia="en-US"/>
        </w:rPr>
        <w:t>partnera</w:t>
      </w:r>
      <w:r w:rsidRPr="002D08EE">
        <w:rPr>
          <w:rFonts w:asciiTheme="minorHAnsi" w:eastAsiaTheme="minorHAnsi" w:hAnsiTheme="minorHAnsi"/>
          <w:color w:val="000000"/>
          <w:sz w:val="22"/>
          <w:szCs w:val="22"/>
          <w:u w:val="single"/>
          <w:lang w:eastAsia="en-US"/>
        </w:rPr>
        <w:t xml:space="preserve">: </w:t>
      </w:r>
    </w:p>
    <w:p w:rsidR="00A22AA4" w:rsidRPr="00A22AA4" w:rsidRDefault="00A22AA4" w:rsidP="00A22AA4">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v</w:t>
      </w:r>
      <w:r w:rsidRPr="00A22AA4">
        <w:rPr>
          <w:rFonts w:asciiTheme="minorHAnsi" w:eastAsiaTheme="minorHAnsi" w:hAnsiTheme="minorHAnsi"/>
          <w:color w:val="000000"/>
          <w:sz w:val="22"/>
          <w:szCs w:val="22"/>
          <w:lang w:eastAsia="en-US"/>
        </w:rPr>
        <w:t>erejná vysoká škola alebo štátna vysoká škola</w:t>
      </w:r>
    </w:p>
    <w:p w:rsidR="006D79B5" w:rsidRPr="002D08EE" w:rsidRDefault="00A22AA4" w:rsidP="00A22AA4">
      <w:pPr>
        <w:pStyle w:val="Odsekzoznamu"/>
        <w:autoSpaceDE w:val="0"/>
        <w:autoSpaceDN w:val="0"/>
        <w:adjustRightInd w:val="0"/>
        <w:spacing w:before="120" w:after="120"/>
        <w:ind w:left="714"/>
        <w:contextualSpacing w:val="0"/>
        <w:jc w:val="both"/>
        <w:rPr>
          <w:rFonts w:asciiTheme="minorHAnsi" w:eastAsiaTheme="minorHAnsi" w:hAnsiTheme="minorHAnsi"/>
          <w:color w:val="000000"/>
          <w:sz w:val="22"/>
          <w:szCs w:val="22"/>
          <w:lang w:eastAsia="en-US"/>
        </w:rPr>
      </w:pPr>
      <w:r w:rsidRPr="00A22AA4">
        <w:rPr>
          <w:rFonts w:asciiTheme="minorHAnsi" w:hAnsiTheme="minorHAnsi"/>
          <w:color w:val="000000"/>
          <w:sz w:val="22"/>
          <w:szCs w:val="22"/>
        </w:rPr>
        <w:t xml:space="preserve">(podmienka sa preukazuje overením  </w:t>
      </w:r>
      <w:r>
        <w:rPr>
          <w:rFonts w:asciiTheme="minorHAnsi" w:hAnsiTheme="minorHAnsi"/>
          <w:color w:val="000000"/>
          <w:sz w:val="22"/>
          <w:szCs w:val="22"/>
        </w:rPr>
        <w:t xml:space="preserve">RO OP TP </w:t>
      </w:r>
      <w:r w:rsidRPr="00A22AA4">
        <w:rPr>
          <w:rFonts w:asciiTheme="minorHAnsi" w:hAnsiTheme="minorHAnsi"/>
          <w:color w:val="000000"/>
          <w:sz w:val="22"/>
          <w:szCs w:val="22"/>
        </w:rPr>
        <w:t>prítomnosti školy v registri Ministerstva školstva, vedy, výskumu a športu SR dostupnom na:</w:t>
      </w:r>
      <w:r>
        <w:rPr>
          <w:color w:val="000000"/>
        </w:rPr>
        <w:t xml:space="preserve"> </w:t>
      </w:r>
      <w:hyperlink r:id="rId13" w:history="1">
        <w:r>
          <w:rPr>
            <w:rStyle w:val="Hypertextovprepojenie"/>
            <w:rFonts w:eastAsiaTheme="majorEastAsia"/>
          </w:rPr>
          <w:t>https://www.minedu.sk/vysoke-skoly-v-slovenskej-republike/</w:t>
        </w:r>
      </w:hyperlink>
      <w:r>
        <w:rPr>
          <w:color w:val="000000"/>
        </w:rPr>
        <w:t xml:space="preserve"> )</w:t>
      </w:r>
      <w:r w:rsidR="006D79B5" w:rsidRPr="002D08EE">
        <w:rPr>
          <w:rFonts w:asciiTheme="minorHAnsi" w:eastAsiaTheme="minorHAnsi" w:hAnsiTheme="minorHAnsi"/>
          <w:color w:val="000000"/>
          <w:sz w:val="22"/>
          <w:szCs w:val="22"/>
          <w:lang w:eastAsia="en-US"/>
        </w:rPr>
        <w:t xml:space="preserve"> </w:t>
      </w:r>
    </w:p>
    <w:p w:rsidR="002B6CE1" w:rsidRPr="002D08EE" w:rsidRDefault="002B6CE1" w:rsidP="002D08EE">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všetci členovia štatutárneho orgánu </w:t>
      </w:r>
      <w:r w:rsidR="00017B90" w:rsidRPr="002D08EE">
        <w:rPr>
          <w:rFonts w:asciiTheme="minorHAnsi" w:eastAsiaTheme="minorHAnsi" w:hAnsiTheme="minorHAnsi"/>
          <w:color w:val="000000"/>
          <w:sz w:val="22"/>
          <w:szCs w:val="22"/>
          <w:lang w:eastAsia="en-US"/>
        </w:rPr>
        <w:t xml:space="preserve">partnera </w:t>
      </w:r>
      <w:r w:rsidRPr="002D08EE">
        <w:rPr>
          <w:rFonts w:asciiTheme="minorHAnsi" w:eastAsiaTheme="minorHAnsi" w:hAnsiTheme="minorHAnsi"/>
          <w:color w:val="000000"/>
          <w:sz w:val="22"/>
          <w:szCs w:val="22"/>
          <w:lang w:eastAsia="en-US"/>
        </w:rPr>
        <w:t xml:space="preserve">a osoba splnomocnená zastupovať </w:t>
      </w:r>
      <w:r w:rsidR="00017B90" w:rsidRPr="002D08EE">
        <w:rPr>
          <w:rFonts w:asciiTheme="minorHAnsi" w:eastAsiaTheme="minorHAnsi" w:hAnsiTheme="minorHAnsi"/>
          <w:color w:val="000000"/>
          <w:sz w:val="22"/>
          <w:szCs w:val="22"/>
          <w:lang w:eastAsia="en-US"/>
        </w:rPr>
        <w:t>partnera</w:t>
      </w:r>
      <w:r w:rsidRPr="002D08EE">
        <w:rPr>
          <w:rFonts w:asciiTheme="minorHAnsi" w:eastAsiaTheme="minorHAnsi" w:hAnsiTheme="minorHAnsi"/>
          <w:color w:val="000000"/>
          <w:sz w:val="22"/>
          <w:szCs w:val="22"/>
          <w:lang w:eastAsia="en-US"/>
        </w:rPr>
        <w:t xml:space="preserve"> v konaní o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neboli právoplatne odsúdení za trestný čin korupcie</w:t>
      </w:r>
      <w:r w:rsidR="005A1282">
        <w:rPr>
          <w:rFonts w:asciiTheme="minorHAnsi" w:eastAsiaTheme="minorHAnsi" w:hAnsiTheme="minorHAnsi"/>
          <w:color w:val="000000"/>
          <w:sz w:val="22"/>
          <w:szCs w:val="22"/>
          <w:lang w:eastAsia="en-US"/>
        </w:rPr>
        <w:t xml:space="preserve"> </w:t>
      </w:r>
      <w:r w:rsidR="005A1282" w:rsidRPr="007775EB">
        <w:rPr>
          <w:rFonts w:asciiTheme="minorHAnsi" w:eastAsiaTheme="minorHAnsi" w:hAnsiTheme="minorHAnsi"/>
          <w:color w:val="000000"/>
          <w:sz w:val="22"/>
          <w:szCs w:val="22"/>
          <w:lang w:eastAsia="en-US"/>
        </w:rPr>
        <w:t xml:space="preserve">(§328 - § 336 Trestného zákona) </w:t>
      </w:r>
      <w:r w:rsidRPr="002D08EE">
        <w:rPr>
          <w:rFonts w:asciiTheme="minorHAnsi" w:eastAsiaTheme="minorHAnsi" w:hAnsiTheme="minorHAnsi"/>
          <w:color w:val="000000"/>
          <w:sz w:val="22"/>
          <w:szCs w:val="22"/>
          <w:lang w:eastAsia="en-US"/>
        </w:rPr>
        <w:t>, trestný čin poškodzovania finančných záujmov ES</w:t>
      </w:r>
      <w:r w:rsidR="005A1282">
        <w:rPr>
          <w:rFonts w:asciiTheme="minorHAnsi" w:eastAsiaTheme="minorHAnsi" w:hAnsiTheme="minorHAnsi"/>
          <w:color w:val="000000"/>
          <w:sz w:val="22"/>
          <w:szCs w:val="22"/>
          <w:lang w:eastAsia="en-US"/>
        </w:rPr>
        <w:t xml:space="preserve"> </w:t>
      </w:r>
      <w:r w:rsidR="005A1282" w:rsidRPr="007775EB">
        <w:rPr>
          <w:rFonts w:asciiTheme="minorHAnsi" w:eastAsiaTheme="minorHAnsi" w:hAnsiTheme="minorHAnsi"/>
          <w:color w:val="000000"/>
          <w:sz w:val="22"/>
          <w:szCs w:val="22"/>
          <w:lang w:eastAsia="en-US"/>
        </w:rPr>
        <w:t>(§261-§263 Trestného zákona)</w:t>
      </w:r>
      <w:r w:rsidRPr="002D08EE">
        <w:rPr>
          <w:rFonts w:asciiTheme="minorHAnsi" w:eastAsiaTheme="minorHAnsi" w:hAnsiTheme="minorHAnsi"/>
          <w:color w:val="000000"/>
          <w:sz w:val="22"/>
          <w:szCs w:val="22"/>
          <w:lang w:eastAsia="en-US"/>
        </w:rPr>
        <w:t>, trestný čin legalizácie príjmu z</w:t>
      </w:r>
      <w:r w:rsidR="0064265D"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trestnej činnosti</w:t>
      </w:r>
      <w:r w:rsidR="005A1282">
        <w:rPr>
          <w:rFonts w:asciiTheme="minorHAnsi" w:eastAsiaTheme="minorHAnsi" w:hAnsiTheme="minorHAnsi"/>
          <w:color w:val="000000"/>
          <w:sz w:val="22"/>
          <w:szCs w:val="22"/>
          <w:lang w:eastAsia="en-US"/>
        </w:rPr>
        <w:t xml:space="preserve"> </w:t>
      </w:r>
      <w:r w:rsidR="005A1282" w:rsidRPr="007775EB">
        <w:rPr>
          <w:rFonts w:asciiTheme="minorHAnsi" w:eastAsiaTheme="minorHAnsi" w:hAnsiTheme="minorHAnsi"/>
          <w:color w:val="000000"/>
          <w:sz w:val="22"/>
          <w:szCs w:val="22"/>
          <w:lang w:eastAsia="en-US"/>
        </w:rPr>
        <w:t>(§ 233 - § 234 Trestného zákona)</w:t>
      </w:r>
      <w:r w:rsidRPr="002D08EE">
        <w:rPr>
          <w:rFonts w:asciiTheme="minorHAnsi" w:eastAsiaTheme="minorHAnsi" w:hAnsiTheme="minorHAnsi"/>
          <w:color w:val="000000"/>
          <w:sz w:val="22"/>
          <w:szCs w:val="22"/>
          <w:lang w:eastAsia="en-US"/>
        </w:rPr>
        <w:t xml:space="preserve">, trestný čin založenia, zosnovania a podporovania zločineckej skupiny </w:t>
      </w:r>
      <w:r w:rsidR="005A1282" w:rsidRPr="007775EB">
        <w:rPr>
          <w:rFonts w:asciiTheme="minorHAnsi" w:eastAsiaTheme="minorHAnsi" w:hAnsiTheme="minorHAnsi"/>
          <w:color w:val="000000"/>
          <w:sz w:val="22"/>
          <w:szCs w:val="22"/>
          <w:lang w:eastAsia="en-US"/>
        </w:rPr>
        <w:t xml:space="preserve">(§296 Trestného zákona) </w:t>
      </w:r>
      <w:r w:rsidRPr="002D08EE">
        <w:rPr>
          <w:rFonts w:asciiTheme="minorHAnsi" w:eastAsiaTheme="minorHAnsi" w:hAnsiTheme="minorHAnsi"/>
          <w:color w:val="000000"/>
          <w:sz w:val="22"/>
          <w:szCs w:val="22"/>
          <w:lang w:eastAsia="en-US"/>
        </w:rPr>
        <w:t xml:space="preserve">alebo trestný čin machinácií pri verejnom obstarávaní a verejnej dražbe </w:t>
      </w:r>
      <w:r w:rsidR="005A1282" w:rsidRPr="007775EB">
        <w:rPr>
          <w:rFonts w:asciiTheme="minorHAnsi" w:eastAsiaTheme="minorHAnsi" w:hAnsiTheme="minorHAnsi"/>
          <w:color w:val="000000"/>
          <w:sz w:val="22"/>
          <w:szCs w:val="22"/>
          <w:lang w:eastAsia="en-US"/>
        </w:rPr>
        <w:t>(§ 266 až § 268 Trestného zákona)</w:t>
      </w:r>
    </w:p>
    <w:p w:rsidR="002B6CE1" w:rsidRPr="002D08EE" w:rsidRDefault="002B6CE1" w:rsidP="00727285">
      <w:pPr>
        <w:autoSpaceDE w:val="0"/>
        <w:autoSpaceDN w:val="0"/>
        <w:adjustRightInd w:val="0"/>
        <w:spacing w:before="120" w:after="120"/>
        <w:ind w:firstLine="708"/>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(podmienka sa preukazuje čestným vyhlásením </w:t>
      </w:r>
      <w:r w:rsidR="006D79B5" w:rsidRPr="002D08EE">
        <w:rPr>
          <w:rFonts w:asciiTheme="minorHAnsi" w:eastAsiaTheme="minorHAnsi" w:hAnsiTheme="minorHAnsi"/>
          <w:color w:val="000000"/>
          <w:sz w:val="22"/>
          <w:szCs w:val="22"/>
          <w:lang w:eastAsia="en-US"/>
        </w:rPr>
        <w:t xml:space="preserve">partnera </w:t>
      </w:r>
      <w:r w:rsidRPr="002D08EE">
        <w:rPr>
          <w:rFonts w:asciiTheme="minorHAnsi" w:eastAsiaTheme="minorHAnsi" w:hAnsiTheme="minorHAnsi"/>
          <w:color w:val="000000"/>
          <w:sz w:val="22"/>
          <w:szCs w:val="22"/>
          <w:lang w:eastAsia="en-US"/>
        </w:rPr>
        <w:t xml:space="preserve">ako </w:t>
      </w:r>
      <w:r w:rsidR="008216B8" w:rsidRPr="002D08EE">
        <w:rPr>
          <w:rFonts w:asciiTheme="minorHAnsi" w:eastAsiaTheme="minorHAnsi" w:hAnsiTheme="minorHAnsi"/>
          <w:color w:val="000000"/>
          <w:sz w:val="22"/>
          <w:szCs w:val="22"/>
          <w:lang w:eastAsia="en-US"/>
        </w:rPr>
        <w:t>príloha k</w:t>
      </w:r>
      <w:r w:rsidR="00CE3AFB">
        <w:rPr>
          <w:rFonts w:asciiTheme="minorHAnsi" w:eastAsiaTheme="minorHAnsi" w:hAnsiTheme="minorHAnsi"/>
          <w:color w:val="000000"/>
          <w:sz w:val="22"/>
          <w:szCs w:val="22"/>
          <w:lang w:eastAsia="en-US"/>
        </w:rPr>
        <w:t> žiadosti o NFP</w:t>
      </w:r>
      <w:r w:rsidR="00CE3AFB"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 </w:t>
      </w:r>
    </w:p>
    <w:p w:rsidR="002B6CE1" w:rsidRPr="002D08EE" w:rsidRDefault="002B6CE1" w:rsidP="0064265D">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nebyť dlžníkom na daniach, nebyť dlžníkom poistného na zdravotnom a sociálnom poistení </w:t>
      </w:r>
    </w:p>
    <w:p w:rsidR="0064265D" w:rsidRPr="002D08EE" w:rsidRDefault="002B6CE1" w:rsidP="0064265D">
      <w:pPr>
        <w:pStyle w:val="Odsekzoznamu"/>
        <w:autoSpaceDE w:val="0"/>
        <w:autoSpaceDN w:val="0"/>
        <w:adjustRightInd w:val="0"/>
        <w:spacing w:before="120" w:after="120"/>
        <w:ind w:left="714"/>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(podmienka sa preukazuje čestným vyhlásením </w:t>
      </w:r>
      <w:r w:rsidR="006D79B5" w:rsidRPr="002D08EE">
        <w:rPr>
          <w:rFonts w:asciiTheme="minorHAnsi" w:eastAsiaTheme="minorHAnsi" w:hAnsiTheme="minorHAnsi"/>
          <w:color w:val="000000"/>
          <w:sz w:val="22"/>
          <w:szCs w:val="22"/>
          <w:lang w:eastAsia="en-US"/>
        </w:rPr>
        <w:t>partnera</w:t>
      </w:r>
      <w:r w:rsidRPr="002D08EE">
        <w:rPr>
          <w:rFonts w:asciiTheme="minorHAnsi" w:eastAsiaTheme="minorHAnsi" w:hAnsiTheme="minorHAnsi"/>
          <w:color w:val="000000"/>
          <w:sz w:val="22"/>
          <w:szCs w:val="22"/>
          <w:lang w:eastAsia="en-US"/>
        </w:rPr>
        <w:t xml:space="preserve"> ako</w:t>
      </w:r>
      <w:r w:rsidR="008216B8" w:rsidRPr="002D08EE">
        <w:rPr>
          <w:rFonts w:asciiTheme="minorHAnsi" w:eastAsiaTheme="minorHAnsi" w:hAnsiTheme="minorHAnsi"/>
          <w:color w:val="000000"/>
          <w:sz w:val="22"/>
          <w:szCs w:val="22"/>
          <w:lang w:eastAsia="en-US"/>
        </w:rPr>
        <w:t xml:space="preserve"> príloha </w:t>
      </w:r>
      <w:r w:rsidR="00CE3AFB" w:rsidRPr="002F2777">
        <w:rPr>
          <w:rFonts w:asciiTheme="minorHAnsi" w:eastAsiaTheme="minorHAnsi" w:hAnsiTheme="minorHAnsi"/>
          <w:color w:val="000000"/>
          <w:sz w:val="22"/>
          <w:szCs w:val="22"/>
          <w:lang w:eastAsia="en-US"/>
        </w:rPr>
        <w:t>k</w:t>
      </w:r>
      <w:r w:rsidR="00CE3AFB">
        <w:rPr>
          <w:rFonts w:asciiTheme="minorHAnsi" w:eastAsiaTheme="minorHAnsi" w:hAnsiTheme="minorHAnsi"/>
          <w:color w:val="000000"/>
          <w:sz w:val="22"/>
          <w:szCs w:val="22"/>
          <w:lang w:eastAsia="en-US"/>
        </w:rPr>
        <w:t> žiadosti o NFP</w:t>
      </w:r>
      <w:r w:rsidRPr="002D08EE">
        <w:rPr>
          <w:rFonts w:asciiTheme="minorHAnsi" w:eastAsiaTheme="minorHAnsi" w:hAnsiTheme="minorHAnsi"/>
          <w:color w:val="000000"/>
          <w:sz w:val="22"/>
          <w:szCs w:val="22"/>
          <w:lang w:eastAsia="en-US"/>
        </w:rPr>
        <w:t>)</w:t>
      </w:r>
    </w:p>
    <w:p w:rsidR="006829FC" w:rsidRPr="002D08EE" w:rsidRDefault="006829FC" w:rsidP="0064265D">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voči </w:t>
      </w:r>
      <w:r w:rsidR="00017B90" w:rsidRPr="002D08EE">
        <w:rPr>
          <w:rFonts w:asciiTheme="minorHAnsi" w:eastAsiaTheme="minorHAnsi" w:hAnsiTheme="minorHAnsi"/>
          <w:color w:val="000000"/>
          <w:sz w:val="22"/>
          <w:szCs w:val="22"/>
          <w:lang w:eastAsia="en-US"/>
        </w:rPr>
        <w:t>partnerovi</w:t>
      </w:r>
      <w:r w:rsidRPr="002D08EE">
        <w:rPr>
          <w:rFonts w:asciiTheme="minorHAnsi" w:eastAsiaTheme="minorHAnsi" w:hAnsiTheme="minorHAnsi"/>
          <w:color w:val="000000"/>
          <w:sz w:val="22"/>
          <w:szCs w:val="22"/>
          <w:lang w:eastAsia="en-US"/>
        </w:rPr>
        <w:t xml:space="preserve"> nie je vedené konkurzné konanie, reštrukturalizačné konanie, nie je v ko</w:t>
      </w:r>
      <w:r w:rsidR="0064265D" w:rsidRPr="002D08EE">
        <w:rPr>
          <w:rFonts w:asciiTheme="minorHAnsi" w:eastAsiaTheme="minorHAnsi" w:hAnsiTheme="minorHAnsi"/>
          <w:color w:val="000000"/>
          <w:sz w:val="22"/>
          <w:szCs w:val="22"/>
          <w:lang w:eastAsia="en-US"/>
        </w:rPr>
        <w:t>nkurze ani v reštrukturalizácii</w:t>
      </w:r>
    </w:p>
    <w:p w:rsidR="0064265D" w:rsidRPr="002D08EE" w:rsidRDefault="0064265D" w:rsidP="0064265D">
      <w:pPr>
        <w:pStyle w:val="Odsekzoznamu"/>
        <w:autoSpaceDE w:val="0"/>
        <w:autoSpaceDN w:val="0"/>
        <w:adjustRightInd w:val="0"/>
        <w:spacing w:before="120" w:after="120"/>
        <w:ind w:left="714"/>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(podmienka sa preukazuje čestným vyhlásením </w:t>
      </w:r>
      <w:r w:rsidR="006D79B5" w:rsidRPr="002D08EE">
        <w:rPr>
          <w:rFonts w:asciiTheme="minorHAnsi" w:eastAsiaTheme="minorHAnsi" w:hAnsiTheme="minorHAnsi"/>
          <w:color w:val="000000"/>
          <w:sz w:val="22"/>
          <w:szCs w:val="22"/>
          <w:lang w:eastAsia="en-US"/>
        </w:rPr>
        <w:t>partnera</w:t>
      </w:r>
      <w:r w:rsidR="00CB2D85" w:rsidRPr="002D08EE">
        <w:rPr>
          <w:rFonts w:asciiTheme="minorHAnsi" w:eastAsiaTheme="minorHAnsi" w:hAnsiTheme="minorHAnsi"/>
          <w:color w:val="000000"/>
          <w:sz w:val="22"/>
          <w:szCs w:val="22"/>
          <w:lang w:eastAsia="en-US"/>
        </w:rPr>
        <w:t xml:space="preserve"> ako</w:t>
      </w:r>
      <w:r w:rsidRPr="002D08EE">
        <w:rPr>
          <w:rFonts w:asciiTheme="minorHAnsi" w:eastAsiaTheme="minorHAnsi" w:hAnsiTheme="minorHAnsi"/>
          <w:color w:val="000000"/>
          <w:sz w:val="22"/>
          <w:szCs w:val="22"/>
          <w:lang w:eastAsia="en-US"/>
        </w:rPr>
        <w:t xml:space="preserve"> </w:t>
      </w:r>
      <w:r w:rsidR="008216B8" w:rsidRPr="002D08EE">
        <w:rPr>
          <w:rFonts w:asciiTheme="minorHAnsi" w:eastAsiaTheme="minorHAnsi" w:hAnsiTheme="minorHAnsi"/>
          <w:color w:val="000000"/>
          <w:sz w:val="22"/>
          <w:szCs w:val="22"/>
          <w:lang w:eastAsia="en-US"/>
        </w:rPr>
        <w:t xml:space="preserve">príloha </w:t>
      </w:r>
      <w:r w:rsidR="00CE3AFB" w:rsidRPr="002F2777">
        <w:rPr>
          <w:rFonts w:asciiTheme="minorHAnsi" w:eastAsiaTheme="minorHAnsi" w:hAnsiTheme="minorHAnsi"/>
          <w:color w:val="000000"/>
          <w:sz w:val="22"/>
          <w:szCs w:val="22"/>
          <w:lang w:eastAsia="en-US"/>
        </w:rPr>
        <w:t>k</w:t>
      </w:r>
      <w:r w:rsidR="00CE3AFB">
        <w:rPr>
          <w:rFonts w:asciiTheme="minorHAnsi" w:eastAsiaTheme="minorHAnsi" w:hAnsiTheme="minorHAnsi"/>
          <w:color w:val="000000"/>
          <w:sz w:val="22"/>
          <w:szCs w:val="22"/>
          <w:lang w:eastAsia="en-US"/>
        </w:rPr>
        <w:t> žiadosti o NFP</w:t>
      </w:r>
      <w:r w:rsidRPr="002D08EE">
        <w:rPr>
          <w:rFonts w:asciiTheme="minorHAnsi" w:eastAsiaTheme="minorHAnsi" w:hAnsiTheme="minorHAnsi"/>
          <w:color w:val="000000"/>
          <w:sz w:val="22"/>
          <w:szCs w:val="22"/>
          <w:lang w:eastAsia="en-US"/>
        </w:rPr>
        <w:t>)</w:t>
      </w:r>
    </w:p>
    <w:p w:rsidR="006D79B5" w:rsidRPr="002D08EE" w:rsidRDefault="006829FC" w:rsidP="006D79B5">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voči </w:t>
      </w:r>
      <w:r w:rsidR="007C7205" w:rsidRPr="002D08EE">
        <w:rPr>
          <w:rFonts w:asciiTheme="minorHAnsi" w:eastAsiaTheme="minorHAnsi" w:hAnsiTheme="minorHAnsi"/>
          <w:color w:val="000000"/>
          <w:sz w:val="22"/>
          <w:szCs w:val="22"/>
          <w:lang w:eastAsia="en-US"/>
        </w:rPr>
        <w:t>par</w:t>
      </w:r>
      <w:r w:rsidR="006246F6" w:rsidRPr="002D08EE">
        <w:rPr>
          <w:rFonts w:asciiTheme="minorHAnsi" w:eastAsiaTheme="minorHAnsi" w:hAnsiTheme="minorHAnsi"/>
          <w:color w:val="000000"/>
          <w:sz w:val="22"/>
          <w:szCs w:val="22"/>
          <w:lang w:eastAsia="en-US"/>
        </w:rPr>
        <w:t>t</w:t>
      </w:r>
      <w:r w:rsidR="007C7205" w:rsidRPr="002D08EE">
        <w:rPr>
          <w:rFonts w:asciiTheme="minorHAnsi" w:eastAsiaTheme="minorHAnsi" w:hAnsiTheme="minorHAnsi"/>
          <w:color w:val="000000"/>
          <w:sz w:val="22"/>
          <w:szCs w:val="22"/>
          <w:lang w:eastAsia="en-US"/>
        </w:rPr>
        <w:t>nerovi</w:t>
      </w:r>
      <w:r w:rsidRPr="002D08EE">
        <w:rPr>
          <w:rFonts w:asciiTheme="minorHAnsi" w:eastAsiaTheme="minorHAnsi" w:hAnsiTheme="minorHAnsi"/>
          <w:color w:val="000000"/>
          <w:sz w:val="22"/>
          <w:szCs w:val="22"/>
          <w:lang w:eastAsia="en-US"/>
        </w:rPr>
        <w:t xml:space="preserve"> nie je vedený výkon rozhodnutia </w:t>
      </w:r>
      <w:r w:rsidR="00B3275F">
        <w:rPr>
          <w:rFonts w:asciiTheme="minorHAnsi" w:eastAsiaTheme="minorHAnsi" w:hAnsiTheme="minorHAnsi"/>
          <w:color w:val="000000"/>
          <w:sz w:val="22"/>
          <w:szCs w:val="22"/>
          <w:lang w:eastAsia="en-US"/>
        </w:rPr>
        <w:t xml:space="preserve"> (nie je relevantné pre štátne rozpočtové organizácie)</w:t>
      </w:r>
    </w:p>
    <w:p w:rsidR="006829FC" w:rsidRPr="002D08EE" w:rsidRDefault="0064265D" w:rsidP="00E633F8">
      <w:pPr>
        <w:pStyle w:val="Odsekzoznamu"/>
        <w:autoSpaceDE w:val="0"/>
        <w:autoSpaceDN w:val="0"/>
        <w:adjustRightInd w:val="0"/>
        <w:spacing w:before="120" w:after="120"/>
        <w:ind w:left="714"/>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(podmienka sa preukazuje čestným vyhlásením </w:t>
      </w:r>
      <w:r w:rsidR="006D79B5" w:rsidRPr="002D08EE">
        <w:rPr>
          <w:rFonts w:asciiTheme="minorHAnsi" w:eastAsiaTheme="minorHAnsi" w:hAnsiTheme="minorHAnsi"/>
          <w:color w:val="000000"/>
          <w:sz w:val="22"/>
          <w:szCs w:val="22"/>
          <w:lang w:eastAsia="en-US"/>
        </w:rPr>
        <w:t>partnera</w:t>
      </w:r>
      <w:r w:rsidRPr="002D08EE">
        <w:rPr>
          <w:rFonts w:asciiTheme="minorHAnsi" w:eastAsiaTheme="minorHAnsi" w:hAnsiTheme="minorHAnsi"/>
          <w:color w:val="000000"/>
          <w:sz w:val="22"/>
          <w:szCs w:val="22"/>
          <w:lang w:eastAsia="en-US"/>
        </w:rPr>
        <w:t xml:space="preserve"> ako </w:t>
      </w:r>
      <w:r w:rsidR="008216B8" w:rsidRPr="002D08EE">
        <w:rPr>
          <w:rFonts w:asciiTheme="minorHAnsi" w:eastAsiaTheme="minorHAnsi" w:hAnsiTheme="minorHAnsi"/>
          <w:color w:val="000000"/>
          <w:sz w:val="22"/>
          <w:szCs w:val="22"/>
          <w:lang w:eastAsia="en-US"/>
        </w:rPr>
        <w:t xml:space="preserve">príloha </w:t>
      </w:r>
      <w:r w:rsidR="00CE3AFB" w:rsidRPr="002F2777">
        <w:rPr>
          <w:rFonts w:asciiTheme="minorHAnsi" w:eastAsiaTheme="minorHAnsi" w:hAnsiTheme="minorHAnsi"/>
          <w:color w:val="000000"/>
          <w:sz w:val="22"/>
          <w:szCs w:val="22"/>
          <w:lang w:eastAsia="en-US"/>
        </w:rPr>
        <w:t>k</w:t>
      </w:r>
      <w:r w:rsidR="00CE3AFB">
        <w:rPr>
          <w:rFonts w:asciiTheme="minorHAnsi" w:eastAsiaTheme="minorHAnsi" w:hAnsiTheme="minorHAnsi"/>
          <w:color w:val="000000"/>
          <w:sz w:val="22"/>
          <w:szCs w:val="22"/>
          <w:lang w:eastAsia="en-US"/>
        </w:rPr>
        <w:t> žiadosti o NFP</w:t>
      </w:r>
      <w:r w:rsidRPr="002D08EE">
        <w:rPr>
          <w:rFonts w:asciiTheme="minorHAnsi" w:eastAsiaTheme="minorHAnsi" w:hAnsiTheme="minorHAnsi"/>
          <w:color w:val="000000"/>
          <w:sz w:val="22"/>
          <w:szCs w:val="22"/>
          <w:lang w:eastAsia="en-US"/>
        </w:rPr>
        <w:t>)</w:t>
      </w:r>
    </w:p>
    <w:p w:rsidR="006829FC" w:rsidRPr="002D08EE" w:rsidRDefault="006829FC" w:rsidP="0064265D">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voči </w:t>
      </w:r>
      <w:r w:rsidR="007C7205" w:rsidRPr="002D08EE">
        <w:rPr>
          <w:rFonts w:asciiTheme="minorHAnsi" w:eastAsiaTheme="minorHAnsi" w:hAnsiTheme="minorHAnsi"/>
          <w:color w:val="000000"/>
          <w:sz w:val="22"/>
          <w:szCs w:val="22"/>
          <w:lang w:eastAsia="en-US"/>
        </w:rPr>
        <w:t>partnerovi</w:t>
      </w:r>
      <w:r w:rsidRPr="002D08EE">
        <w:rPr>
          <w:rFonts w:asciiTheme="minorHAnsi" w:eastAsiaTheme="minorHAnsi" w:hAnsiTheme="minorHAnsi"/>
          <w:color w:val="000000"/>
          <w:sz w:val="22"/>
          <w:szCs w:val="22"/>
          <w:lang w:eastAsia="en-US"/>
        </w:rPr>
        <w:t xml:space="preserve"> sa nenárokuje vrátenie pomoci na základe rozhodnutia Európskej komisie, ktorým bola pomoc označená za neoprávnenú a nezlučiteľnú so spoločným trhom </w:t>
      </w:r>
    </w:p>
    <w:p w:rsidR="0064265D" w:rsidRPr="002D08EE" w:rsidRDefault="0064265D" w:rsidP="0064265D">
      <w:pPr>
        <w:pStyle w:val="Odsekzoznamu"/>
        <w:autoSpaceDE w:val="0"/>
        <w:autoSpaceDN w:val="0"/>
        <w:adjustRightInd w:val="0"/>
        <w:spacing w:before="120" w:after="120"/>
        <w:ind w:left="714"/>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(podmienka sa preukazuje čestným vyhlásením </w:t>
      </w:r>
      <w:r w:rsidR="006D79B5" w:rsidRPr="002D08EE">
        <w:rPr>
          <w:rFonts w:asciiTheme="minorHAnsi" w:eastAsiaTheme="minorHAnsi" w:hAnsiTheme="minorHAnsi"/>
          <w:color w:val="000000"/>
          <w:sz w:val="22"/>
          <w:szCs w:val="22"/>
          <w:lang w:eastAsia="en-US"/>
        </w:rPr>
        <w:t>partnera</w:t>
      </w:r>
      <w:r w:rsidRPr="002D08EE">
        <w:rPr>
          <w:rFonts w:asciiTheme="minorHAnsi" w:eastAsiaTheme="minorHAnsi" w:hAnsiTheme="minorHAnsi"/>
          <w:color w:val="000000"/>
          <w:sz w:val="22"/>
          <w:szCs w:val="22"/>
          <w:lang w:eastAsia="en-US"/>
        </w:rPr>
        <w:t xml:space="preserve"> ako </w:t>
      </w:r>
      <w:r w:rsidR="008216B8" w:rsidRPr="002D08EE">
        <w:rPr>
          <w:rFonts w:asciiTheme="minorHAnsi" w:eastAsiaTheme="minorHAnsi" w:hAnsiTheme="minorHAnsi"/>
          <w:color w:val="000000"/>
          <w:sz w:val="22"/>
          <w:szCs w:val="22"/>
          <w:lang w:eastAsia="en-US"/>
        </w:rPr>
        <w:t xml:space="preserve">príloha </w:t>
      </w:r>
      <w:r w:rsidR="00CE3AFB" w:rsidRPr="002F2777">
        <w:rPr>
          <w:rFonts w:asciiTheme="minorHAnsi" w:eastAsiaTheme="minorHAnsi" w:hAnsiTheme="minorHAnsi"/>
          <w:color w:val="000000"/>
          <w:sz w:val="22"/>
          <w:szCs w:val="22"/>
          <w:lang w:eastAsia="en-US"/>
        </w:rPr>
        <w:t>k</w:t>
      </w:r>
      <w:r w:rsidR="00CE3AFB">
        <w:rPr>
          <w:rFonts w:asciiTheme="minorHAnsi" w:eastAsiaTheme="minorHAnsi" w:hAnsiTheme="minorHAnsi"/>
          <w:color w:val="000000"/>
          <w:sz w:val="22"/>
          <w:szCs w:val="22"/>
          <w:lang w:eastAsia="en-US"/>
        </w:rPr>
        <w:t> žiadosti o NFP</w:t>
      </w:r>
      <w:r w:rsidRPr="002D08EE">
        <w:rPr>
          <w:rFonts w:asciiTheme="minorHAnsi" w:eastAsiaTheme="minorHAnsi" w:hAnsiTheme="minorHAnsi"/>
          <w:color w:val="000000"/>
          <w:sz w:val="22"/>
          <w:szCs w:val="22"/>
          <w:lang w:eastAsia="en-US"/>
        </w:rPr>
        <w:t>)</w:t>
      </w:r>
    </w:p>
    <w:p w:rsidR="006829FC" w:rsidRPr="002D08EE" w:rsidRDefault="007C7205" w:rsidP="0064265D">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partner</w:t>
      </w:r>
      <w:r w:rsidR="006829FC" w:rsidRPr="002D08EE">
        <w:rPr>
          <w:rFonts w:asciiTheme="minorHAnsi" w:eastAsiaTheme="minorHAnsi" w:hAnsiTheme="minorHAnsi"/>
          <w:color w:val="000000"/>
          <w:sz w:val="22"/>
          <w:szCs w:val="22"/>
          <w:lang w:eastAsia="en-US"/>
        </w:rPr>
        <w:t xml:space="preserve"> je finančne spôsobilý na spolufinancovanie projektu, t.</w:t>
      </w:r>
      <w:r w:rsidR="0064265D" w:rsidRPr="002D08EE">
        <w:rPr>
          <w:rFonts w:asciiTheme="minorHAnsi" w:eastAsiaTheme="minorHAnsi" w:hAnsiTheme="minorHAnsi"/>
          <w:color w:val="000000"/>
          <w:sz w:val="22"/>
          <w:szCs w:val="22"/>
          <w:lang w:eastAsia="en-US"/>
        </w:rPr>
        <w:t xml:space="preserve"> </w:t>
      </w:r>
      <w:r w:rsidR="006829FC" w:rsidRPr="002D08EE">
        <w:rPr>
          <w:rFonts w:asciiTheme="minorHAnsi" w:eastAsiaTheme="minorHAnsi" w:hAnsiTheme="minorHAnsi"/>
          <w:color w:val="000000"/>
          <w:sz w:val="22"/>
          <w:szCs w:val="22"/>
          <w:lang w:eastAsia="en-US"/>
        </w:rPr>
        <w:t>j. preukázateľne zabezpečí spolufinancovanie projektu vo výške určenej vo v</w:t>
      </w:r>
      <w:r w:rsidR="00727285" w:rsidRPr="002D08EE">
        <w:rPr>
          <w:rFonts w:asciiTheme="minorHAnsi" w:eastAsiaTheme="minorHAnsi" w:hAnsiTheme="minorHAnsi"/>
          <w:color w:val="000000"/>
          <w:sz w:val="22"/>
          <w:szCs w:val="22"/>
          <w:lang w:eastAsia="en-US"/>
        </w:rPr>
        <w:t>y</w:t>
      </w:r>
      <w:r w:rsidR="006829FC" w:rsidRPr="002D08EE">
        <w:rPr>
          <w:rFonts w:asciiTheme="minorHAnsi" w:eastAsiaTheme="minorHAnsi" w:hAnsiTheme="minorHAnsi"/>
          <w:color w:val="000000"/>
          <w:sz w:val="22"/>
          <w:szCs w:val="22"/>
          <w:lang w:eastAsia="en-US"/>
        </w:rPr>
        <w:t>zv</w:t>
      </w:r>
      <w:r w:rsidR="00727285" w:rsidRPr="002D08EE">
        <w:rPr>
          <w:rFonts w:asciiTheme="minorHAnsi" w:eastAsiaTheme="minorHAnsi" w:hAnsiTheme="minorHAnsi"/>
          <w:color w:val="000000"/>
          <w:sz w:val="22"/>
          <w:szCs w:val="22"/>
          <w:lang w:eastAsia="en-US"/>
        </w:rPr>
        <w:t>aní</w:t>
      </w:r>
    </w:p>
    <w:p w:rsidR="006D79B5" w:rsidRPr="002D08EE" w:rsidRDefault="00B91DDF" w:rsidP="00B91DDF">
      <w:pPr>
        <w:pStyle w:val="Odsekzoznamu"/>
        <w:autoSpaceDE w:val="0"/>
        <w:autoSpaceDN w:val="0"/>
        <w:adjustRightInd w:val="0"/>
        <w:spacing w:before="120" w:after="120"/>
        <w:ind w:left="714"/>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(podmienka sa preukazuje čestným vyhlásením </w:t>
      </w:r>
      <w:r w:rsidR="006D79B5" w:rsidRPr="002D08EE">
        <w:rPr>
          <w:rFonts w:asciiTheme="minorHAnsi" w:eastAsiaTheme="minorHAnsi" w:hAnsiTheme="minorHAnsi"/>
          <w:color w:val="000000"/>
          <w:sz w:val="22"/>
          <w:szCs w:val="22"/>
          <w:lang w:eastAsia="en-US"/>
        </w:rPr>
        <w:t>partnera</w:t>
      </w:r>
      <w:r w:rsidRPr="002D08EE">
        <w:rPr>
          <w:rFonts w:asciiTheme="minorHAnsi" w:eastAsiaTheme="minorHAnsi" w:hAnsiTheme="minorHAnsi"/>
          <w:color w:val="000000"/>
          <w:sz w:val="22"/>
          <w:szCs w:val="22"/>
          <w:lang w:eastAsia="en-US"/>
        </w:rPr>
        <w:t xml:space="preserve"> ako </w:t>
      </w:r>
      <w:r w:rsidR="008216B8" w:rsidRPr="002D08EE">
        <w:rPr>
          <w:rFonts w:asciiTheme="minorHAnsi" w:eastAsiaTheme="minorHAnsi" w:hAnsiTheme="minorHAnsi"/>
          <w:color w:val="000000"/>
          <w:sz w:val="22"/>
          <w:szCs w:val="22"/>
          <w:lang w:eastAsia="en-US"/>
        </w:rPr>
        <w:t xml:space="preserve">príloha </w:t>
      </w:r>
      <w:r w:rsidR="00CE3AFB" w:rsidRPr="002F2777">
        <w:rPr>
          <w:rFonts w:asciiTheme="minorHAnsi" w:eastAsiaTheme="minorHAnsi" w:hAnsiTheme="minorHAnsi"/>
          <w:color w:val="000000"/>
          <w:sz w:val="22"/>
          <w:szCs w:val="22"/>
          <w:lang w:eastAsia="en-US"/>
        </w:rPr>
        <w:t>k</w:t>
      </w:r>
      <w:r w:rsidR="00CE3AFB">
        <w:rPr>
          <w:rFonts w:asciiTheme="minorHAnsi" w:eastAsiaTheme="minorHAnsi" w:hAnsiTheme="minorHAnsi"/>
          <w:color w:val="000000"/>
          <w:sz w:val="22"/>
          <w:szCs w:val="22"/>
          <w:lang w:eastAsia="en-US"/>
        </w:rPr>
        <w:t> žiadosti o NFP</w:t>
      </w:r>
      <w:r w:rsidRPr="002D08EE">
        <w:rPr>
          <w:rFonts w:asciiTheme="minorHAnsi" w:eastAsiaTheme="minorHAnsi" w:hAnsiTheme="minorHAnsi"/>
          <w:color w:val="000000"/>
          <w:sz w:val="22"/>
          <w:szCs w:val="22"/>
          <w:lang w:eastAsia="en-US"/>
        </w:rPr>
        <w:t>)</w:t>
      </w:r>
      <w:r w:rsidR="006D79B5" w:rsidRPr="002D08EE" w:rsidDel="006D79B5">
        <w:rPr>
          <w:rFonts w:asciiTheme="minorHAnsi" w:eastAsiaTheme="minorHAnsi" w:hAnsiTheme="minorHAnsi"/>
          <w:color w:val="000000"/>
          <w:sz w:val="22"/>
          <w:szCs w:val="22"/>
          <w:lang w:eastAsia="en-US"/>
        </w:rPr>
        <w:t xml:space="preserve"> </w:t>
      </w:r>
    </w:p>
    <w:p w:rsidR="006D79B5" w:rsidRPr="002D08EE" w:rsidRDefault="00CB2D85" w:rsidP="008216B8">
      <w:pPr>
        <w:pStyle w:val="Odsekzoznamu"/>
        <w:numPr>
          <w:ilvl w:val="0"/>
          <w:numId w:val="7"/>
        </w:numPr>
        <w:autoSpaceDE w:val="0"/>
        <w:autoSpaceDN w:val="0"/>
        <w:adjustRightInd w:val="0"/>
        <w:spacing w:before="120" w:after="120"/>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p</w:t>
      </w:r>
      <w:r w:rsidR="006D79B5" w:rsidRPr="002D08EE">
        <w:rPr>
          <w:rFonts w:asciiTheme="minorHAnsi" w:eastAsiaTheme="minorHAnsi" w:hAnsiTheme="minorHAnsi"/>
          <w:color w:val="000000"/>
          <w:sz w:val="22"/>
          <w:szCs w:val="22"/>
          <w:lang w:eastAsia="en-US"/>
        </w:rPr>
        <w:t xml:space="preserve">odmienka, že </w:t>
      </w:r>
      <w:r w:rsidR="007C7205" w:rsidRPr="002D08EE">
        <w:rPr>
          <w:rFonts w:asciiTheme="minorHAnsi" w:eastAsiaTheme="minorHAnsi" w:hAnsiTheme="minorHAnsi"/>
          <w:color w:val="000000"/>
          <w:sz w:val="22"/>
          <w:szCs w:val="22"/>
          <w:lang w:eastAsia="en-US"/>
        </w:rPr>
        <w:t>partner</w:t>
      </w:r>
      <w:r w:rsidR="00B3275F">
        <w:rPr>
          <w:rFonts w:asciiTheme="minorHAnsi" w:eastAsiaTheme="minorHAnsi" w:hAnsiTheme="minorHAnsi"/>
          <w:color w:val="000000"/>
          <w:sz w:val="22"/>
          <w:szCs w:val="22"/>
          <w:lang w:eastAsia="en-US"/>
        </w:rPr>
        <w:t xml:space="preserve"> </w:t>
      </w:r>
      <w:r w:rsidR="006D79B5" w:rsidRPr="002D08EE">
        <w:rPr>
          <w:rFonts w:asciiTheme="minorHAnsi" w:eastAsiaTheme="minorHAnsi" w:hAnsiTheme="minorHAnsi"/>
          <w:color w:val="000000"/>
          <w:sz w:val="22"/>
          <w:szCs w:val="22"/>
          <w:lang w:eastAsia="en-US"/>
        </w:rPr>
        <w:t>nemá právoplatným rozsudkom uložený trest zákazu prijímať dotácie alebo subvencie, trest zákazu prijímať pomoc a podporu poskytovanú z fondov Európskej únie alebo trest zákazu účasti vo verejnom obstarávaní podľa osobitného predpisu</w:t>
      </w:r>
      <w:r w:rsidR="006D79B5" w:rsidRPr="002D08EE">
        <w:rPr>
          <w:rFonts w:asciiTheme="minorHAnsi" w:eastAsiaTheme="minorHAnsi" w:hAnsiTheme="minorHAnsi"/>
          <w:color w:val="000000"/>
          <w:sz w:val="22"/>
          <w:szCs w:val="22"/>
          <w:vertAlign w:val="superscript"/>
          <w:lang w:eastAsia="en-US"/>
        </w:rPr>
        <w:footnoteReference w:id="2"/>
      </w:r>
      <w:r w:rsidR="00B3275F">
        <w:rPr>
          <w:rFonts w:asciiTheme="minorHAnsi" w:eastAsiaTheme="minorHAnsi" w:hAnsiTheme="minorHAnsi"/>
          <w:color w:val="000000"/>
          <w:sz w:val="22"/>
          <w:szCs w:val="22"/>
          <w:lang w:eastAsia="en-US"/>
        </w:rPr>
        <w:t>(relevantné iba v prípade právnickej osoby)</w:t>
      </w:r>
    </w:p>
    <w:p w:rsidR="006D79B5" w:rsidRDefault="006D79B5" w:rsidP="002B1402">
      <w:pPr>
        <w:pStyle w:val="Odsekzoznamu"/>
        <w:autoSpaceDE w:val="0"/>
        <w:autoSpaceDN w:val="0"/>
        <w:adjustRightInd w:val="0"/>
        <w:spacing w:before="120" w:after="120"/>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(podmienka sa preukazuje čestným vyhlásením partnera ako </w:t>
      </w:r>
      <w:r w:rsidR="00B1742D" w:rsidRPr="002D08EE">
        <w:rPr>
          <w:rFonts w:asciiTheme="minorHAnsi" w:eastAsiaTheme="minorHAnsi" w:hAnsiTheme="minorHAnsi"/>
          <w:color w:val="000000"/>
          <w:sz w:val="22"/>
          <w:szCs w:val="22"/>
          <w:lang w:eastAsia="en-US"/>
        </w:rPr>
        <w:t xml:space="preserve">príloha </w:t>
      </w:r>
      <w:r w:rsidR="00CE3AFB" w:rsidRPr="002F2777">
        <w:rPr>
          <w:rFonts w:asciiTheme="minorHAnsi" w:eastAsiaTheme="minorHAnsi" w:hAnsiTheme="minorHAnsi"/>
          <w:color w:val="000000"/>
          <w:sz w:val="22"/>
          <w:szCs w:val="22"/>
          <w:lang w:eastAsia="en-US"/>
        </w:rPr>
        <w:t>k</w:t>
      </w:r>
      <w:r w:rsidR="00CE3AFB">
        <w:rPr>
          <w:rFonts w:asciiTheme="minorHAnsi" w:eastAsiaTheme="minorHAnsi" w:hAnsiTheme="minorHAnsi"/>
          <w:color w:val="000000"/>
          <w:sz w:val="22"/>
          <w:szCs w:val="22"/>
          <w:lang w:eastAsia="en-US"/>
        </w:rPr>
        <w:t> žiadosti o NFP</w:t>
      </w:r>
      <w:r w:rsidRPr="002D08EE">
        <w:rPr>
          <w:rFonts w:asciiTheme="minorHAnsi" w:eastAsiaTheme="minorHAnsi" w:hAnsiTheme="minorHAnsi"/>
          <w:color w:val="000000"/>
          <w:sz w:val="22"/>
          <w:szCs w:val="22"/>
          <w:lang w:eastAsia="en-US"/>
        </w:rPr>
        <w:t>)</w:t>
      </w:r>
      <w:r w:rsidRPr="002D08EE" w:rsidDel="006D79B5">
        <w:rPr>
          <w:rFonts w:asciiTheme="minorHAnsi" w:eastAsiaTheme="minorHAnsi" w:hAnsiTheme="minorHAnsi"/>
          <w:color w:val="000000"/>
          <w:sz w:val="22"/>
          <w:szCs w:val="22"/>
          <w:lang w:eastAsia="en-US"/>
        </w:rPr>
        <w:t xml:space="preserve"> </w:t>
      </w:r>
    </w:p>
    <w:p w:rsidR="002A7815" w:rsidRPr="002D08EE" w:rsidRDefault="002A7815" w:rsidP="002B1402">
      <w:pPr>
        <w:pStyle w:val="Odsekzoznamu"/>
        <w:autoSpaceDE w:val="0"/>
        <w:autoSpaceDN w:val="0"/>
        <w:adjustRightInd w:val="0"/>
        <w:spacing w:before="120" w:after="120"/>
        <w:contextualSpacing w:val="0"/>
        <w:jc w:val="both"/>
        <w:rPr>
          <w:rFonts w:asciiTheme="minorHAnsi" w:eastAsiaTheme="minorHAnsi" w:hAnsiTheme="minorHAnsi"/>
          <w:color w:val="000000"/>
          <w:sz w:val="22"/>
          <w:szCs w:val="22"/>
          <w:lang w:eastAsia="en-US"/>
        </w:rPr>
      </w:pPr>
    </w:p>
    <w:p w:rsidR="006829FC" w:rsidRPr="002D08EE" w:rsidRDefault="006829FC" w:rsidP="00B91DDF">
      <w:pPr>
        <w:pStyle w:val="Odsekzoznamu"/>
        <w:numPr>
          <w:ilvl w:val="1"/>
          <w:numId w:val="1"/>
        </w:numPr>
        <w:spacing w:before="120" w:after="120"/>
        <w:contextualSpacing w:val="0"/>
        <w:rPr>
          <w:rFonts w:asciiTheme="minorHAnsi" w:hAnsiTheme="minorHAnsi"/>
          <w:b/>
          <w:sz w:val="22"/>
          <w:szCs w:val="22"/>
        </w:rPr>
      </w:pPr>
      <w:r w:rsidRPr="002D08EE">
        <w:rPr>
          <w:rFonts w:asciiTheme="minorHAnsi" w:hAnsiTheme="minorHAnsi"/>
          <w:b/>
          <w:sz w:val="22"/>
          <w:szCs w:val="22"/>
        </w:rPr>
        <w:t>Oprávnenosť aktivít realizácie projektu</w:t>
      </w:r>
    </w:p>
    <w:p w:rsidR="002B6CE1" w:rsidRPr="002D08EE" w:rsidRDefault="002B6CE1" w:rsidP="00B91DDF">
      <w:pPr>
        <w:pStyle w:val="Odsekzoznamu"/>
        <w:autoSpaceDE w:val="0"/>
        <w:autoSpaceDN w:val="0"/>
        <w:adjustRightInd w:val="0"/>
        <w:spacing w:before="120" w:after="120"/>
        <w:ind w:left="360"/>
        <w:contextualSpacing w:val="0"/>
        <w:rPr>
          <w:rFonts w:asciiTheme="minorHAnsi" w:eastAsiaTheme="minorHAnsi" w:hAnsiTheme="minorHAnsi"/>
          <w:color w:val="000000"/>
          <w:sz w:val="22"/>
          <w:szCs w:val="22"/>
          <w:u w:val="single"/>
          <w:lang w:eastAsia="en-US"/>
        </w:rPr>
      </w:pPr>
      <w:r w:rsidRPr="002D08EE">
        <w:rPr>
          <w:rFonts w:asciiTheme="minorHAnsi" w:eastAsiaTheme="minorHAnsi" w:hAnsiTheme="minorHAnsi"/>
          <w:color w:val="000000"/>
          <w:sz w:val="22"/>
          <w:szCs w:val="22"/>
          <w:u w:val="single"/>
          <w:lang w:eastAsia="en-US"/>
        </w:rPr>
        <w:t xml:space="preserve">Podmienky oprávnenosti aktivít: </w:t>
      </w:r>
    </w:p>
    <w:p w:rsidR="002B6CE1" w:rsidRPr="002D08EE" w:rsidRDefault="002B6CE1" w:rsidP="007F24AF">
      <w:pPr>
        <w:pStyle w:val="Odsekzoznamu"/>
        <w:numPr>
          <w:ilvl w:val="0"/>
          <w:numId w:val="7"/>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hlavné aktivity projektu sú vo vecnom súlade s</w:t>
      </w:r>
      <w:r w:rsidR="004C642B"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oprávne</w:t>
      </w:r>
      <w:r w:rsidR="004C642B" w:rsidRPr="002D08EE">
        <w:rPr>
          <w:rFonts w:asciiTheme="minorHAnsi" w:eastAsiaTheme="minorHAnsi" w:hAnsiTheme="minorHAnsi"/>
          <w:color w:val="000000"/>
          <w:sz w:val="22"/>
          <w:szCs w:val="22"/>
          <w:lang w:eastAsia="en-US"/>
        </w:rPr>
        <w:t>nými</w:t>
      </w:r>
      <w:r w:rsidRPr="002D08EE">
        <w:rPr>
          <w:rFonts w:asciiTheme="minorHAnsi" w:eastAsiaTheme="minorHAnsi" w:hAnsiTheme="minorHAnsi"/>
          <w:color w:val="000000"/>
          <w:sz w:val="22"/>
          <w:szCs w:val="22"/>
          <w:lang w:eastAsia="en-US"/>
        </w:rPr>
        <w:t xml:space="preserve"> aktivit</w:t>
      </w:r>
      <w:r w:rsidR="004C642B" w:rsidRPr="002D08EE">
        <w:rPr>
          <w:rFonts w:asciiTheme="minorHAnsi" w:eastAsiaTheme="minorHAnsi" w:hAnsiTheme="minorHAnsi"/>
          <w:color w:val="000000"/>
          <w:sz w:val="22"/>
          <w:szCs w:val="22"/>
          <w:lang w:eastAsia="en-US"/>
        </w:rPr>
        <w:t>ami</w:t>
      </w:r>
      <w:r w:rsidRPr="002D08EE">
        <w:rPr>
          <w:rFonts w:asciiTheme="minorHAnsi" w:eastAsiaTheme="minorHAnsi" w:hAnsiTheme="minorHAnsi"/>
          <w:color w:val="000000"/>
          <w:sz w:val="22"/>
          <w:szCs w:val="22"/>
          <w:lang w:eastAsia="en-US"/>
        </w:rPr>
        <w:t xml:space="preserve"> OP TP, na</w:t>
      </w:r>
      <w:r w:rsidR="007F24AF"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realizáciu ktor</w:t>
      </w:r>
      <w:r w:rsidR="004C642B" w:rsidRPr="002D08EE">
        <w:rPr>
          <w:rFonts w:asciiTheme="minorHAnsi" w:eastAsiaTheme="minorHAnsi" w:hAnsiTheme="minorHAnsi"/>
          <w:color w:val="000000"/>
          <w:sz w:val="22"/>
          <w:szCs w:val="22"/>
          <w:lang w:eastAsia="en-US"/>
        </w:rPr>
        <w:t>ých</w:t>
      </w:r>
      <w:r w:rsidRPr="002D08EE">
        <w:rPr>
          <w:rFonts w:asciiTheme="minorHAnsi" w:eastAsiaTheme="minorHAnsi" w:hAnsiTheme="minorHAnsi"/>
          <w:color w:val="000000"/>
          <w:sz w:val="22"/>
          <w:szCs w:val="22"/>
          <w:lang w:eastAsia="en-US"/>
        </w:rPr>
        <w:t xml:space="preserve"> je vyhlásené toto vyzvanie</w:t>
      </w:r>
    </w:p>
    <w:p w:rsidR="007F24AF" w:rsidRPr="002D08EE" w:rsidRDefault="007F24AF" w:rsidP="00B91DDF">
      <w:pPr>
        <w:pStyle w:val="Odsekzoznamu"/>
        <w:spacing w:before="120" w:after="120"/>
        <w:ind w:left="360" w:firstLine="348"/>
        <w:contextualSpacing w:val="0"/>
        <w:jc w:val="both"/>
        <w:rPr>
          <w:rFonts w:asciiTheme="minorHAnsi" w:eastAsiaTheme="minorHAnsi" w:hAnsiTheme="minorHAnsi"/>
          <w:color w:val="000000"/>
          <w:sz w:val="22"/>
          <w:szCs w:val="22"/>
          <w:lang w:eastAsia="en-US"/>
        </w:rPr>
      </w:pPr>
    </w:p>
    <w:p w:rsidR="006829FC" w:rsidRPr="002D08EE" w:rsidRDefault="002B6CE1" w:rsidP="007F24AF">
      <w:pPr>
        <w:pStyle w:val="Odsekzoznamu"/>
        <w:spacing w:before="120" w:after="120"/>
        <w:ind w:left="708"/>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Oprávnené na poskytnutie príspevku sú výlučne projekty, ktoré svojimi aktivitami spadajú do oprávnen</w:t>
      </w:r>
      <w:r w:rsidR="00FA1E27" w:rsidRPr="002D08EE">
        <w:rPr>
          <w:rFonts w:asciiTheme="minorHAnsi" w:eastAsiaTheme="minorHAnsi" w:hAnsiTheme="minorHAnsi"/>
          <w:color w:val="000000"/>
          <w:sz w:val="22"/>
          <w:szCs w:val="22"/>
          <w:lang w:eastAsia="en-US"/>
        </w:rPr>
        <w:t>ých</w:t>
      </w:r>
      <w:r w:rsidRPr="002D08EE">
        <w:rPr>
          <w:rFonts w:asciiTheme="minorHAnsi" w:eastAsiaTheme="minorHAnsi" w:hAnsiTheme="minorHAnsi"/>
          <w:color w:val="000000"/>
          <w:sz w:val="22"/>
          <w:szCs w:val="22"/>
          <w:lang w:eastAsia="en-US"/>
        </w:rPr>
        <w:t xml:space="preserve"> aktiv</w:t>
      </w:r>
      <w:r w:rsidR="00FA1E27" w:rsidRPr="002D08EE">
        <w:rPr>
          <w:rFonts w:asciiTheme="minorHAnsi" w:eastAsiaTheme="minorHAnsi" w:hAnsiTheme="minorHAnsi"/>
          <w:color w:val="000000"/>
          <w:sz w:val="22"/>
          <w:szCs w:val="22"/>
          <w:lang w:eastAsia="en-US"/>
        </w:rPr>
        <w:t>í</w:t>
      </w:r>
      <w:r w:rsidRPr="002D08EE">
        <w:rPr>
          <w:rFonts w:asciiTheme="minorHAnsi" w:eastAsiaTheme="minorHAnsi" w:hAnsiTheme="minorHAnsi"/>
          <w:color w:val="000000"/>
          <w:sz w:val="22"/>
          <w:szCs w:val="22"/>
          <w:lang w:eastAsia="en-US"/>
        </w:rPr>
        <w:t>t:</w:t>
      </w:r>
    </w:p>
    <w:p w:rsidR="002B6CE1" w:rsidRPr="002D08EE" w:rsidRDefault="002B6CE1" w:rsidP="007F24AF">
      <w:pPr>
        <w:autoSpaceDE w:val="0"/>
        <w:autoSpaceDN w:val="0"/>
        <w:adjustRightInd w:val="0"/>
        <w:spacing w:before="120" w:after="120"/>
        <w:ind w:left="708"/>
        <w:jc w:val="both"/>
        <w:rPr>
          <w:rFonts w:asciiTheme="minorHAnsi" w:eastAsiaTheme="minorHAnsi" w:hAnsiTheme="minorHAnsi"/>
          <w:b/>
          <w:bCs/>
          <w:iCs/>
          <w:color w:val="000000"/>
          <w:sz w:val="22"/>
          <w:szCs w:val="22"/>
          <w:lang w:eastAsia="en-US"/>
        </w:rPr>
      </w:pPr>
      <w:r w:rsidRPr="002D08EE">
        <w:rPr>
          <w:rFonts w:asciiTheme="minorHAnsi" w:eastAsiaTheme="minorHAnsi" w:hAnsiTheme="minorHAnsi"/>
          <w:b/>
          <w:bCs/>
          <w:iCs/>
          <w:color w:val="000000"/>
          <w:sz w:val="22"/>
          <w:szCs w:val="22"/>
          <w:lang w:eastAsia="en-US"/>
        </w:rPr>
        <w:t xml:space="preserve">Aktivita </w:t>
      </w:r>
      <w:r w:rsidR="007F24AF" w:rsidRPr="002D08EE">
        <w:rPr>
          <w:rFonts w:asciiTheme="minorHAnsi" w:eastAsiaTheme="minorHAnsi" w:hAnsiTheme="minorHAnsi"/>
          <w:b/>
          <w:bCs/>
          <w:iCs/>
          <w:color w:val="000000"/>
          <w:sz w:val="22"/>
          <w:szCs w:val="22"/>
          <w:lang w:eastAsia="en-US"/>
        </w:rPr>
        <w:t>301010011A005</w:t>
      </w:r>
      <w:r w:rsidRPr="002D08EE">
        <w:rPr>
          <w:rFonts w:asciiTheme="minorHAnsi" w:hAnsiTheme="minorHAnsi"/>
          <w:b/>
          <w:sz w:val="22"/>
          <w:szCs w:val="22"/>
        </w:rPr>
        <w:t xml:space="preserve"> - E. </w:t>
      </w:r>
      <w:r w:rsidRPr="002D08EE">
        <w:rPr>
          <w:rFonts w:asciiTheme="minorHAnsi" w:eastAsiaTheme="minorHAnsi" w:hAnsiTheme="minorHAnsi"/>
          <w:b/>
          <w:bCs/>
          <w:iCs/>
          <w:color w:val="000000"/>
          <w:sz w:val="22"/>
          <w:szCs w:val="22"/>
          <w:lang w:eastAsia="en-US"/>
        </w:rPr>
        <w:t xml:space="preserve">Príprava nových AK do riadenia, kontroly a auditu EŠIF </w:t>
      </w:r>
    </w:p>
    <w:p w:rsidR="00B25D05" w:rsidRPr="002D08EE" w:rsidRDefault="00B25D05" w:rsidP="00B25D05">
      <w:pPr>
        <w:ind w:left="708"/>
        <w:jc w:val="both"/>
        <w:rPr>
          <w:rFonts w:asciiTheme="minorHAnsi" w:hAnsiTheme="minorHAnsi"/>
          <w:sz w:val="22"/>
          <w:szCs w:val="22"/>
        </w:rPr>
      </w:pPr>
      <w:r w:rsidRPr="002D08EE">
        <w:rPr>
          <w:rFonts w:asciiTheme="minorHAnsi" w:hAnsiTheme="minorHAnsi"/>
          <w:sz w:val="22"/>
          <w:szCs w:val="22"/>
        </w:rPr>
        <w:t>Aktivita bude realizovaná najmä formou multilaterálnej spolupráce Centrálneho koordinačného orgánu a riadiacich orgánov s univerzitami a financovaním voliteľných predmetov zameraných na odbornú tematiku riadenia politiky súdržnosti z fondov EU, prípravu programového obdobia, štruktúru operačného programu, implementáciu politiky súdržnosti na Slovensku a špecifiká financovania technickej pomoci. Cieľom bude kreovanie nových a vyškolených AK a ich zapojenie do priamej realizácie EŠIF. Predmety by mali byť zamerané najmä na nasledujúce oblasti:</w:t>
      </w:r>
    </w:p>
    <w:p w:rsidR="00B25D05" w:rsidRPr="002D08EE" w:rsidRDefault="00B25D05" w:rsidP="00B25EF0">
      <w:pPr>
        <w:pStyle w:val="Odsekzoznamu"/>
        <w:numPr>
          <w:ilvl w:val="0"/>
          <w:numId w:val="17"/>
        </w:numPr>
        <w:ind w:left="1134" w:hanging="425"/>
        <w:jc w:val="both"/>
        <w:rPr>
          <w:rFonts w:asciiTheme="minorHAnsi" w:hAnsiTheme="minorHAnsi"/>
          <w:sz w:val="22"/>
          <w:szCs w:val="22"/>
        </w:rPr>
      </w:pPr>
      <w:r w:rsidRPr="002D08EE">
        <w:rPr>
          <w:rFonts w:asciiTheme="minorHAnsi" w:hAnsiTheme="minorHAnsi"/>
          <w:sz w:val="22"/>
          <w:szCs w:val="22"/>
        </w:rPr>
        <w:t>Základy politiky súdržnosti</w:t>
      </w:r>
    </w:p>
    <w:p w:rsidR="00B25D05" w:rsidRPr="002D08EE" w:rsidRDefault="00B25D05" w:rsidP="00B25EF0">
      <w:pPr>
        <w:pStyle w:val="Odsekzoznamu"/>
        <w:numPr>
          <w:ilvl w:val="0"/>
          <w:numId w:val="17"/>
        </w:numPr>
        <w:ind w:left="1134" w:hanging="425"/>
        <w:jc w:val="both"/>
        <w:rPr>
          <w:rFonts w:asciiTheme="minorHAnsi" w:hAnsiTheme="minorHAnsi"/>
          <w:sz w:val="22"/>
          <w:szCs w:val="22"/>
        </w:rPr>
      </w:pPr>
      <w:r w:rsidRPr="002D08EE">
        <w:rPr>
          <w:rFonts w:asciiTheme="minorHAnsi" w:hAnsiTheme="minorHAnsi"/>
          <w:sz w:val="22"/>
          <w:szCs w:val="22"/>
        </w:rPr>
        <w:t>Vývoj ideových prístupov k politike súdržnosti</w:t>
      </w:r>
    </w:p>
    <w:p w:rsidR="00B25D05" w:rsidRPr="002D08EE" w:rsidRDefault="00B25D05" w:rsidP="00B25EF0">
      <w:pPr>
        <w:pStyle w:val="Odsekzoznamu"/>
        <w:numPr>
          <w:ilvl w:val="0"/>
          <w:numId w:val="17"/>
        </w:numPr>
        <w:ind w:left="1134" w:hanging="425"/>
        <w:jc w:val="both"/>
        <w:rPr>
          <w:rFonts w:asciiTheme="minorHAnsi" w:hAnsiTheme="minorHAnsi"/>
          <w:sz w:val="22"/>
          <w:szCs w:val="22"/>
        </w:rPr>
      </w:pPr>
      <w:r w:rsidRPr="002D08EE">
        <w:rPr>
          <w:rFonts w:asciiTheme="minorHAnsi" w:hAnsiTheme="minorHAnsi"/>
          <w:sz w:val="22"/>
          <w:szCs w:val="22"/>
        </w:rPr>
        <w:t>Politika súdržnosti v SR</w:t>
      </w:r>
    </w:p>
    <w:p w:rsidR="00B25D05" w:rsidRPr="002D08EE" w:rsidRDefault="00B25D05" w:rsidP="00B25EF0">
      <w:pPr>
        <w:pStyle w:val="Odsekzoznamu"/>
        <w:numPr>
          <w:ilvl w:val="0"/>
          <w:numId w:val="17"/>
        </w:numPr>
        <w:ind w:left="1134" w:hanging="425"/>
        <w:jc w:val="both"/>
        <w:rPr>
          <w:rFonts w:asciiTheme="minorHAnsi" w:hAnsiTheme="minorHAnsi"/>
          <w:sz w:val="22"/>
          <w:szCs w:val="22"/>
        </w:rPr>
      </w:pPr>
      <w:r w:rsidRPr="002D08EE">
        <w:rPr>
          <w:rFonts w:asciiTheme="minorHAnsi" w:hAnsiTheme="minorHAnsi"/>
          <w:sz w:val="22"/>
          <w:szCs w:val="22"/>
        </w:rPr>
        <w:t>Legislatívna a koncepčná príprava programového obdobia 2020</w:t>
      </w:r>
      <w:r w:rsidR="006D79B5" w:rsidRPr="002D08EE">
        <w:rPr>
          <w:rFonts w:asciiTheme="minorHAnsi" w:hAnsiTheme="minorHAnsi"/>
          <w:sz w:val="22"/>
          <w:szCs w:val="22"/>
        </w:rPr>
        <w:t>+</w:t>
      </w:r>
      <w:r w:rsidRPr="002D08EE">
        <w:rPr>
          <w:rFonts w:asciiTheme="minorHAnsi" w:hAnsiTheme="minorHAnsi"/>
          <w:sz w:val="22"/>
          <w:szCs w:val="22"/>
        </w:rPr>
        <w:t xml:space="preserve"> na úrovni EÚ</w:t>
      </w:r>
    </w:p>
    <w:p w:rsidR="00B25D05" w:rsidRPr="002D08EE" w:rsidRDefault="00B25D05" w:rsidP="00B25EF0">
      <w:pPr>
        <w:pStyle w:val="Odsekzoznamu"/>
        <w:numPr>
          <w:ilvl w:val="0"/>
          <w:numId w:val="17"/>
        </w:numPr>
        <w:ind w:left="1134" w:hanging="425"/>
        <w:jc w:val="both"/>
        <w:rPr>
          <w:rFonts w:asciiTheme="minorHAnsi" w:hAnsiTheme="minorHAnsi"/>
          <w:sz w:val="22"/>
          <w:szCs w:val="22"/>
        </w:rPr>
      </w:pPr>
      <w:r w:rsidRPr="002D08EE">
        <w:rPr>
          <w:rFonts w:asciiTheme="minorHAnsi" w:hAnsiTheme="minorHAnsi"/>
          <w:sz w:val="22"/>
          <w:szCs w:val="22"/>
        </w:rPr>
        <w:t>Príprava programového obdobia 2020</w:t>
      </w:r>
      <w:r w:rsidR="006D79B5" w:rsidRPr="002D08EE">
        <w:rPr>
          <w:rFonts w:asciiTheme="minorHAnsi" w:hAnsiTheme="minorHAnsi"/>
          <w:sz w:val="22"/>
          <w:szCs w:val="22"/>
        </w:rPr>
        <w:t>+</w:t>
      </w:r>
      <w:r w:rsidRPr="002D08EE">
        <w:rPr>
          <w:rFonts w:asciiTheme="minorHAnsi" w:hAnsiTheme="minorHAnsi"/>
          <w:sz w:val="22"/>
          <w:szCs w:val="22"/>
        </w:rPr>
        <w:t xml:space="preserve"> v SR</w:t>
      </w:r>
    </w:p>
    <w:p w:rsidR="00B25D05" w:rsidRPr="002D08EE" w:rsidRDefault="00B25D05" w:rsidP="00B25EF0">
      <w:pPr>
        <w:pStyle w:val="Odsekzoznamu"/>
        <w:numPr>
          <w:ilvl w:val="0"/>
          <w:numId w:val="17"/>
        </w:numPr>
        <w:ind w:left="1134" w:hanging="425"/>
        <w:jc w:val="both"/>
        <w:rPr>
          <w:rFonts w:asciiTheme="minorHAnsi" w:hAnsiTheme="minorHAnsi"/>
          <w:sz w:val="22"/>
          <w:szCs w:val="22"/>
        </w:rPr>
      </w:pPr>
      <w:r w:rsidRPr="002D08EE">
        <w:rPr>
          <w:rFonts w:asciiTheme="minorHAnsi" w:hAnsiTheme="minorHAnsi"/>
          <w:sz w:val="22"/>
          <w:szCs w:val="22"/>
        </w:rPr>
        <w:t>Informačné kampane a publicita</w:t>
      </w:r>
    </w:p>
    <w:p w:rsidR="006B0064" w:rsidRPr="002D08EE" w:rsidRDefault="00B25D05" w:rsidP="00B1742D">
      <w:pPr>
        <w:pStyle w:val="Odsekzoznamu"/>
        <w:numPr>
          <w:ilvl w:val="0"/>
          <w:numId w:val="17"/>
        </w:numPr>
        <w:ind w:left="1134" w:hanging="425"/>
        <w:jc w:val="both"/>
        <w:rPr>
          <w:rStyle w:val="Odkaznakomentr"/>
          <w:rFonts w:asciiTheme="minorHAnsi" w:hAnsiTheme="minorHAnsi"/>
          <w:sz w:val="22"/>
          <w:szCs w:val="22"/>
        </w:rPr>
      </w:pPr>
      <w:r w:rsidRPr="002D08EE">
        <w:rPr>
          <w:rFonts w:asciiTheme="minorHAnsi" w:hAnsiTheme="minorHAnsi"/>
          <w:sz w:val="22"/>
          <w:szCs w:val="22"/>
        </w:rPr>
        <w:t>Spolupráca SR v rámci EÚ</w:t>
      </w:r>
    </w:p>
    <w:p w:rsidR="006B0064" w:rsidRPr="002D08EE" w:rsidRDefault="006B0064" w:rsidP="00B1742D">
      <w:pPr>
        <w:pStyle w:val="Odsekzoznamu"/>
        <w:numPr>
          <w:ilvl w:val="0"/>
          <w:numId w:val="17"/>
        </w:numPr>
        <w:ind w:left="1134" w:hanging="425"/>
        <w:jc w:val="both"/>
        <w:rPr>
          <w:rFonts w:asciiTheme="minorHAnsi" w:hAnsiTheme="minorHAnsi"/>
          <w:sz w:val="22"/>
          <w:szCs w:val="22"/>
        </w:rPr>
      </w:pPr>
      <w:r w:rsidRPr="002D08EE">
        <w:rPr>
          <w:rFonts w:asciiTheme="minorHAnsi" w:hAnsiTheme="minorHAnsi"/>
          <w:sz w:val="22"/>
          <w:szCs w:val="22"/>
        </w:rPr>
        <w:t>Protikorupčné opatrenia súvisiace s politikou súdržnosti</w:t>
      </w:r>
    </w:p>
    <w:p w:rsidR="00B25D05" w:rsidRPr="002D08EE" w:rsidRDefault="00B25D05" w:rsidP="00E633F8">
      <w:pPr>
        <w:pStyle w:val="Odsekzoznamu"/>
        <w:ind w:left="1134"/>
        <w:jc w:val="both"/>
        <w:rPr>
          <w:rFonts w:asciiTheme="minorHAnsi" w:hAnsiTheme="minorHAnsi"/>
          <w:sz w:val="22"/>
          <w:szCs w:val="22"/>
        </w:rPr>
      </w:pPr>
    </w:p>
    <w:p w:rsidR="00B25D05" w:rsidRPr="002D08EE" w:rsidRDefault="00B25D05" w:rsidP="00B25EF0">
      <w:pPr>
        <w:ind w:left="708" w:firstLine="12"/>
        <w:jc w:val="both"/>
        <w:rPr>
          <w:rFonts w:asciiTheme="minorHAnsi" w:hAnsiTheme="minorHAnsi"/>
          <w:sz w:val="22"/>
          <w:szCs w:val="22"/>
        </w:rPr>
      </w:pPr>
      <w:r w:rsidRPr="002D08EE">
        <w:rPr>
          <w:rFonts w:asciiTheme="minorHAnsi" w:hAnsiTheme="minorHAnsi"/>
          <w:sz w:val="22"/>
          <w:szCs w:val="22"/>
        </w:rPr>
        <w:t xml:space="preserve">Predmet </w:t>
      </w:r>
      <w:r w:rsidR="006B0064" w:rsidRPr="002D08EE">
        <w:rPr>
          <w:rFonts w:asciiTheme="minorHAnsi" w:hAnsiTheme="minorHAnsi"/>
          <w:sz w:val="22"/>
          <w:szCs w:val="22"/>
        </w:rPr>
        <w:t xml:space="preserve">sa odporúča prepojiť </w:t>
      </w:r>
      <w:r w:rsidRPr="002D08EE">
        <w:rPr>
          <w:rFonts w:asciiTheme="minorHAnsi" w:hAnsiTheme="minorHAnsi"/>
          <w:sz w:val="22"/>
          <w:szCs w:val="22"/>
        </w:rPr>
        <w:t>na prax formou stáží na riadiacich orgánoch a Centrálnom koordinačnom orgáne (prípadne iných orgánoch, zapojených do implementácie európskych investičných a štrukturálnych fondov</w:t>
      </w:r>
      <w:r w:rsidR="00B1742D" w:rsidRPr="002D08EE">
        <w:rPr>
          <w:rFonts w:asciiTheme="minorHAnsi" w:hAnsiTheme="minorHAnsi"/>
          <w:sz w:val="22"/>
          <w:szCs w:val="22"/>
        </w:rPr>
        <w:t>)</w:t>
      </w:r>
      <w:r w:rsidRPr="002D08EE">
        <w:rPr>
          <w:rFonts w:asciiTheme="minorHAnsi" w:hAnsiTheme="minorHAnsi"/>
          <w:sz w:val="22"/>
          <w:szCs w:val="22"/>
        </w:rPr>
        <w:t xml:space="preserve">. </w:t>
      </w:r>
    </w:p>
    <w:p w:rsidR="00B25EF0" w:rsidRPr="002D08EE" w:rsidRDefault="007A6843" w:rsidP="00B25EF0">
      <w:pPr>
        <w:ind w:left="708" w:firstLine="12"/>
        <w:jc w:val="both"/>
        <w:rPr>
          <w:rFonts w:asciiTheme="minorHAnsi" w:eastAsiaTheme="minorHAnsi" w:hAnsiTheme="minorHAnsi"/>
          <w:color w:val="000000"/>
          <w:sz w:val="22"/>
          <w:szCs w:val="22"/>
          <w:lang w:eastAsia="en-US"/>
        </w:rPr>
      </w:pPr>
      <w:r w:rsidRPr="002D08EE">
        <w:rPr>
          <w:rFonts w:asciiTheme="minorHAnsi" w:hAnsiTheme="minorHAnsi"/>
          <w:sz w:val="22"/>
          <w:szCs w:val="22"/>
        </w:rPr>
        <w:t>Podporené môžu byť aj žiadosti o NFP, zamerané na iné činnosti, pokiaľ spadajú pod </w:t>
      </w:r>
      <w:r w:rsidR="00B25EF0" w:rsidRPr="002D08EE">
        <w:rPr>
          <w:rFonts w:asciiTheme="minorHAnsi" w:hAnsiTheme="minorHAnsi"/>
          <w:sz w:val="22"/>
          <w:szCs w:val="22"/>
        </w:rPr>
        <w:t>zadefinovan</w:t>
      </w:r>
      <w:r w:rsidRPr="002D08EE">
        <w:rPr>
          <w:rFonts w:asciiTheme="minorHAnsi" w:hAnsiTheme="minorHAnsi"/>
          <w:sz w:val="22"/>
          <w:szCs w:val="22"/>
        </w:rPr>
        <w:t>ú</w:t>
      </w:r>
      <w:r w:rsidR="00B25EF0" w:rsidRPr="002D08EE">
        <w:rPr>
          <w:rFonts w:asciiTheme="minorHAnsi" w:hAnsiTheme="minorHAnsi"/>
          <w:sz w:val="22"/>
          <w:szCs w:val="22"/>
        </w:rPr>
        <w:t xml:space="preserve"> oprávnen</w:t>
      </w:r>
      <w:r w:rsidRPr="002D08EE">
        <w:rPr>
          <w:rFonts w:asciiTheme="minorHAnsi" w:hAnsiTheme="minorHAnsi"/>
          <w:sz w:val="22"/>
          <w:szCs w:val="22"/>
        </w:rPr>
        <w:t>ú</w:t>
      </w:r>
      <w:r w:rsidR="00B25EF0" w:rsidRPr="002D08EE">
        <w:rPr>
          <w:rFonts w:asciiTheme="minorHAnsi" w:hAnsiTheme="minorHAnsi"/>
          <w:sz w:val="22"/>
          <w:szCs w:val="22"/>
        </w:rPr>
        <w:t xml:space="preserve"> aktivitu.</w:t>
      </w:r>
    </w:p>
    <w:p w:rsidR="002B6CE1" w:rsidRPr="002D08EE" w:rsidRDefault="002B6CE1" w:rsidP="007F24AF">
      <w:pPr>
        <w:pStyle w:val="Odsekzoznamu"/>
        <w:numPr>
          <w:ilvl w:val="0"/>
          <w:numId w:val="7"/>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žiadateľ</w:t>
      </w:r>
      <w:r w:rsidR="00B1742D" w:rsidRPr="002D08EE">
        <w:rPr>
          <w:rFonts w:asciiTheme="minorHAnsi" w:eastAsiaTheme="minorHAnsi" w:hAnsiTheme="minorHAnsi"/>
          <w:color w:val="000000"/>
          <w:sz w:val="22"/>
          <w:szCs w:val="22"/>
          <w:lang w:eastAsia="en-US"/>
        </w:rPr>
        <w:t xml:space="preserve"> </w:t>
      </w:r>
      <w:r w:rsidR="001F3ED9" w:rsidRPr="002D08EE">
        <w:rPr>
          <w:rFonts w:asciiTheme="minorHAnsi" w:eastAsiaTheme="minorHAnsi" w:hAnsiTheme="minorHAnsi"/>
          <w:color w:val="000000"/>
          <w:sz w:val="22"/>
          <w:szCs w:val="22"/>
          <w:lang w:eastAsia="en-US"/>
        </w:rPr>
        <w:t xml:space="preserve">a partner </w:t>
      </w:r>
      <w:r w:rsidRPr="002D08EE">
        <w:rPr>
          <w:rFonts w:asciiTheme="minorHAnsi" w:eastAsiaTheme="minorHAnsi" w:hAnsiTheme="minorHAnsi"/>
          <w:color w:val="000000"/>
          <w:sz w:val="22"/>
          <w:szCs w:val="22"/>
          <w:lang w:eastAsia="en-US"/>
        </w:rPr>
        <w:t>neukončil fyzickú realizáciu všetkých hlavných aktivít projektu pred</w:t>
      </w:r>
      <w:r w:rsidR="007F24AF"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predložením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w:t>
      </w:r>
    </w:p>
    <w:p w:rsidR="002B6CE1" w:rsidRPr="002D08EE" w:rsidRDefault="00B1742D" w:rsidP="007F24AF">
      <w:pPr>
        <w:autoSpaceDE w:val="0"/>
        <w:autoSpaceDN w:val="0"/>
        <w:adjustRightInd w:val="0"/>
        <w:spacing w:before="120" w:after="120"/>
        <w:ind w:left="70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Žiadateľ </w:t>
      </w:r>
      <w:r w:rsidR="001F3ED9" w:rsidRPr="002D08EE">
        <w:rPr>
          <w:rFonts w:asciiTheme="minorHAnsi" w:eastAsiaTheme="minorHAnsi" w:hAnsiTheme="minorHAnsi"/>
          <w:color w:val="000000"/>
          <w:sz w:val="22"/>
          <w:szCs w:val="22"/>
          <w:lang w:eastAsia="en-US"/>
        </w:rPr>
        <w:t xml:space="preserve">a partner </w:t>
      </w:r>
      <w:r w:rsidR="002B6CE1" w:rsidRPr="002D08EE">
        <w:rPr>
          <w:rFonts w:asciiTheme="minorHAnsi" w:eastAsiaTheme="minorHAnsi" w:hAnsiTheme="minorHAnsi"/>
          <w:color w:val="000000"/>
          <w:sz w:val="22"/>
          <w:szCs w:val="22"/>
          <w:lang w:eastAsia="en-US"/>
        </w:rPr>
        <w:t>nesm</w:t>
      </w:r>
      <w:r w:rsidR="001F3ED9" w:rsidRPr="002D08EE">
        <w:rPr>
          <w:rFonts w:asciiTheme="minorHAnsi" w:eastAsiaTheme="minorHAnsi" w:hAnsiTheme="minorHAnsi"/>
          <w:color w:val="000000"/>
          <w:sz w:val="22"/>
          <w:szCs w:val="22"/>
          <w:lang w:eastAsia="en-US"/>
        </w:rPr>
        <w:t>ú</w:t>
      </w:r>
      <w:r w:rsidR="002B6CE1" w:rsidRPr="002D08EE">
        <w:rPr>
          <w:rFonts w:asciiTheme="minorHAnsi" w:eastAsiaTheme="minorHAnsi" w:hAnsiTheme="minorHAnsi"/>
          <w:color w:val="000000"/>
          <w:sz w:val="22"/>
          <w:szCs w:val="22"/>
          <w:lang w:eastAsia="en-US"/>
        </w:rPr>
        <w:t xml:space="preserve"> ukončiť fyzickú realizáciu všetkých hlavných aktivít projektu, t. j. plne zrealizovať všetky hlavné aktivity projektu, pred predložením </w:t>
      </w:r>
      <w:proofErr w:type="spellStart"/>
      <w:r w:rsidR="002B6CE1" w:rsidRPr="002D08EE">
        <w:rPr>
          <w:rFonts w:asciiTheme="minorHAnsi" w:eastAsiaTheme="minorHAnsi" w:hAnsiTheme="minorHAnsi"/>
          <w:color w:val="000000"/>
          <w:sz w:val="22"/>
          <w:szCs w:val="22"/>
          <w:lang w:eastAsia="en-US"/>
        </w:rPr>
        <w:t>ŽoNFP</w:t>
      </w:r>
      <w:proofErr w:type="spellEnd"/>
      <w:r w:rsidR="002B6CE1" w:rsidRPr="002D08EE">
        <w:rPr>
          <w:rFonts w:asciiTheme="minorHAnsi" w:eastAsiaTheme="minorHAnsi" w:hAnsiTheme="minorHAnsi"/>
          <w:color w:val="000000"/>
          <w:sz w:val="22"/>
          <w:szCs w:val="22"/>
          <w:lang w:eastAsia="en-US"/>
        </w:rPr>
        <w:t xml:space="preserve"> na RO pre</w:t>
      </w:r>
      <w:r w:rsidR="007F24AF" w:rsidRPr="002D08EE">
        <w:rPr>
          <w:rFonts w:asciiTheme="minorHAnsi" w:eastAsiaTheme="minorHAnsi" w:hAnsiTheme="minorHAnsi"/>
          <w:color w:val="000000"/>
          <w:sz w:val="22"/>
          <w:szCs w:val="22"/>
          <w:lang w:eastAsia="en-US"/>
        </w:rPr>
        <w:t> </w:t>
      </w:r>
      <w:r w:rsidR="002B6CE1" w:rsidRPr="002D08EE">
        <w:rPr>
          <w:rFonts w:asciiTheme="minorHAnsi" w:eastAsiaTheme="minorHAnsi" w:hAnsiTheme="minorHAnsi"/>
          <w:color w:val="000000"/>
          <w:sz w:val="22"/>
          <w:szCs w:val="22"/>
          <w:lang w:eastAsia="en-US"/>
        </w:rPr>
        <w:t>OP TP.</w:t>
      </w:r>
    </w:p>
    <w:p w:rsidR="006829FC" w:rsidRPr="002D08EE" w:rsidRDefault="006829FC" w:rsidP="00727285">
      <w:pPr>
        <w:pStyle w:val="Odsekzoznamu"/>
        <w:numPr>
          <w:ilvl w:val="1"/>
          <w:numId w:val="1"/>
        </w:numPr>
        <w:spacing w:before="120" w:after="120"/>
        <w:contextualSpacing w:val="0"/>
        <w:rPr>
          <w:rFonts w:asciiTheme="minorHAnsi" w:hAnsiTheme="minorHAnsi"/>
          <w:b/>
          <w:sz w:val="22"/>
          <w:szCs w:val="22"/>
        </w:rPr>
      </w:pPr>
      <w:r w:rsidRPr="002D08EE">
        <w:rPr>
          <w:rFonts w:asciiTheme="minorHAnsi" w:hAnsiTheme="minorHAnsi"/>
          <w:b/>
          <w:sz w:val="22"/>
          <w:szCs w:val="22"/>
        </w:rPr>
        <w:t>Oprávnenosť výdavkov realizácie projektu</w:t>
      </w:r>
    </w:p>
    <w:p w:rsidR="002B6CE1" w:rsidRPr="002D08EE" w:rsidRDefault="002B6CE1" w:rsidP="00727285">
      <w:pPr>
        <w:pStyle w:val="Odsekzoznamu"/>
        <w:autoSpaceDE w:val="0"/>
        <w:autoSpaceDN w:val="0"/>
        <w:adjustRightInd w:val="0"/>
        <w:spacing w:before="120" w:after="120"/>
        <w:ind w:left="360"/>
        <w:rPr>
          <w:rFonts w:asciiTheme="minorHAnsi" w:eastAsiaTheme="minorHAnsi" w:hAnsiTheme="minorHAnsi"/>
          <w:color w:val="000000"/>
          <w:sz w:val="22"/>
          <w:szCs w:val="22"/>
          <w:u w:val="single"/>
          <w:lang w:eastAsia="en-US"/>
        </w:rPr>
      </w:pPr>
      <w:r w:rsidRPr="002D08EE">
        <w:rPr>
          <w:rFonts w:asciiTheme="minorHAnsi" w:eastAsiaTheme="minorHAnsi" w:hAnsiTheme="minorHAnsi"/>
          <w:color w:val="000000"/>
          <w:sz w:val="22"/>
          <w:szCs w:val="22"/>
          <w:u w:val="single"/>
          <w:lang w:eastAsia="en-US"/>
        </w:rPr>
        <w:t xml:space="preserve">Podmienky oprávnenosti výdavkov: </w:t>
      </w:r>
    </w:p>
    <w:p w:rsidR="007F24AF" w:rsidRPr="002D08EE" w:rsidRDefault="007F24AF" w:rsidP="00727285">
      <w:pPr>
        <w:pStyle w:val="Odsekzoznamu"/>
        <w:autoSpaceDE w:val="0"/>
        <w:autoSpaceDN w:val="0"/>
        <w:adjustRightInd w:val="0"/>
        <w:spacing w:before="120" w:after="120"/>
        <w:ind w:left="360"/>
        <w:rPr>
          <w:rFonts w:asciiTheme="minorHAnsi" w:eastAsiaTheme="minorHAnsi" w:hAnsiTheme="minorHAnsi"/>
          <w:color w:val="000000"/>
          <w:sz w:val="22"/>
          <w:szCs w:val="22"/>
          <w:lang w:eastAsia="en-US"/>
        </w:rPr>
      </w:pPr>
    </w:p>
    <w:p w:rsidR="002B6CE1" w:rsidRPr="002D08EE" w:rsidRDefault="002B6CE1" w:rsidP="00287F44">
      <w:pPr>
        <w:pStyle w:val="Odsekzoznamu"/>
        <w:numPr>
          <w:ilvl w:val="0"/>
          <w:numId w:val="7"/>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výdavky projektu sú v súlade s oprávnenými výdavkami pre oprávnenú aktivitu na</w:t>
      </w:r>
      <w:r w:rsidR="00287F44"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toto vyzvanie </w:t>
      </w:r>
    </w:p>
    <w:p w:rsidR="006829FC" w:rsidRPr="002D08EE" w:rsidRDefault="002B6CE1" w:rsidP="007F24AF">
      <w:pPr>
        <w:pStyle w:val="Odsekzoznamu"/>
        <w:spacing w:before="120" w:after="120"/>
        <w:ind w:left="360" w:firstLine="34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Pre toto vyzvanie sú oprávneným typom výdavkov:</w:t>
      </w:r>
    </w:p>
    <w:p w:rsidR="007A6843" w:rsidRPr="002D08EE" w:rsidRDefault="007A6843" w:rsidP="007A6843">
      <w:pPr>
        <w:pStyle w:val="Odsekzoznamu"/>
        <w:spacing w:before="120" w:after="120"/>
        <w:ind w:left="360" w:firstLine="348"/>
        <w:jc w:val="both"/>
        <w:rPr>
          <w:rFonts w:asciiTheme="minorHAnsi" w:eastAsiaTheme="minorHAnsi" w:hAnsiTheme="minorHAnsi"/>
          <w:color w:val="000000"/>
          <w:sz w:val="22"/>
          <w:szCs w:val="22"/>
          <w:lang w:eastAsia="en-US"/>
        </w:rPr>
      </w:pPr>
    </w:p>
    <w:p w:rsidR="007A6843" w:rsidRPr="002D08EE" w:rsidRDefault="007A6843" w:rsidP="007A6843">
      <w:pPr>
        <w:pStyle w:val="Odsekzoznamu"/>
        <w:spacing w:before="120" w:after="120"/>
        <w:ind w:left="360" w:firstLine="34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112 - Zásoby</w:t>
      </w:r>
    </w:p>
    <w:p w:rsidR="007A6843" w:rsidRPr="002D08EE" w:rsidRDefault="007A6843" w:rsidP="007A6843">
      <w:pPr>
        <w:pStyle w:val="Odsekzoznamu"/>
        <w:spacing w:before="120" w:after="120"/>
        <w:ind w:left="360" w:firstLine="34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503 – Spotreba ostatných neskladovateľných dodávok</w:t>
      </w:r>
    </w:p>
    <w:p w:rsidR="007A6843" w:rsidRPr="002D08EE" w:rsidRDefault="007A6843" w:rsidP="007A6843">
      <w:pPr>
        <w:pStyle w:val="Odsekzoznamu"/>
        <w:spacing w:before="120" w:after="120"/>
        <w:ind w:left="360" w:firstLine="34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512 - Cestovné náhrady</w:t>
      </w:r>
    </w:p>
    <w:p w:rsidR="007A6843" w:rsidRPr="002D08EE" w:rsidRDefault="007A6843" w:rsidP="007A6843">
      <w:pPr>
        <w:pStyle w:val="Odsekzoznamu"/>
        <w:spacing w:before="120" w:after="120"/>
        <w:ind w:left="360" w:firstLine="34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518 - Ostatné služby</w:t>
      </w:r>
    </w:p>
    <w:p w:rsidR="007A6843" w:rsidRPr="002D08EE" w:rsidRDefault="007A6843" w:rsidP="007A6843">
      <w:pPr>
        <w:pStyle w:val="Odsekzoznamu"/>
        <w:spacing w:before="120" w:after="120"/>
        <w:ind w:left="360" w:firstLine="34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521 - Mzdové výdavky</w:t>
      </w:r>
    </w:p>
    <w:p w:rsidR="007A6843" w:rsidRPr="002D08EE" w:rsidRDefault="007A6843" w:rsidP="007F24AF">
      <w:pPr>
        <w:pStyle w:val="Odsekzoznamu"/>
        <w:spacing w:before="120" w:after="120"/>
        <w:ind w:left="360" w:firstLine="348"/>
        <w:jc w:val="both"/>
        <w:rPr>
          <w:rFonts w:asciiTheme="minorHAnsi" w:eastAsiaTheme="minorHAnsi" w:hAnsiTheme="minorHAnsi"/>
          <w:color w:val="000000"/>
          <w:sz w:val="22"/>
          <w:szCs w:val="22"/>
          <w:highlight w:val="yellow"/>
          <w:lang w:eastAsia="en-US"/>
        </w:rPr>
      </w:pPr>
    </w:p>
    <w:p w:rsidR="002B6CE1" w:rsidRPr="002D08EE" w:rsidRDefault="002B6CE1" w:rsidP="007F24AF">
      <w:pPr>
        <w:autoSpaceDE w:val="0"/>
        <w:autoSpaceDN w:val="0"/>
        <w:adjustRightInd w:val="0"/>
        <w:spacing w:before="120" w:after="120"/>
        <w:ind w:left="70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Výdavky projektu musia byť v súlade s podmienkami oprávnenosti podrobne definovanými v dokumentoch: </w:t>
      </w:r>
    </w:p>
    <w:p w:rsidR="007F24AF" w:rsidRPr="002D08EE" w:rsidRDefault="002B6CE1" w:rsidP="005A1282">
      <w:pPr>
        <w:pStyle w:val="Odsekzoznamu"/>
        <w:numPr>
          <w:ilvl w:val="0"/>
          <w:numId w:val="13"/>
        </w:numPr>
        <w:autoSpaceDE w:val="0"/>
        <w:autoSpaceDN w:val="0"/>
        <w:adjustRightInd w:val="0"/>
        <w:spacing w:before="120" w:after="120"/>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Príručka oprávnenosti výdavkov pre projekty operačného programu Technická pomoc 2014 - 2020 (</w:t>
      </w:r>
      <w:hyperlink r:id="rId14" w:history="1">
        <w:r w:rsidR="005A1282" w:rsidRPr="00B1542C">
          <w:rPr>
            <w:rStyle w:val="Hypertextovprepojenie"/>
            <w:rFonts w:asciiTheme="minorHAnsi" w:eastAsiaTheme="minorHAnsi" w:hAnsiTheme="minorHAnsi"/>
            <w:sz w:val="22"/>
            <w:szCs w:val="22"/>
            <w:lang w:eastAsia="en-US"/>
          </w:rPr>
          <w:t>http://www.optp.vlada.gov.sk/ine-dokumenty/</w:t>
        </w:r>
      </w:hyperlink>
      <w:r w:rsidR="005A1282">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 </w:t>
      </w:r>
    </w:p>
    <w:p w:rsidR="002B6CE1" w:rsidRPr="002D08EE" w:rsidRDefault="002B6CE1" w:rsidP="005A1282">
      <w:pPr>
        <w:pStyle w:val="Odsekzoznamu"/>
        <w:numPr>
          <w:ilvl w:val="0"/>
          <w:numId w:val="13"/>
        </w:numPr>
        <w:autoSpaceDE w:val="0"/>
        <w:autoSpaceDN w:val="0"/>
        <w:adjustRightInd w:val="0"/>
        <w:spacing w:before="120" w:after="120"/>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Príručka pre prijímateľa pre projekty operačného programu Technická pomoc 2014 - 2020 (</w:t>
      </w:r>
      <w:hyperlink r:id="rId15" w:history="1">
        <w:r w:rsidR="005A1282" w:rsidRPr="00B1542C">
          <w:rPr>
            <w:rStyle w:val="Hypertextovprepojenie"/>
            <w:rFonts w:asciiTheme="minorHAnsi" w:eastAsiaTheme="minorHAnsi" w:hAnsiTheme="minorHAnsi"/>
            <w:sz w:val="22"/>
            <w:szCs w:val="22"/>
            <w:lang w:eastAsia="en-US"/>
          </w:rPr>
          <w:t>http://www.optp.vlada.gov.sk/ine-dokumenty/</w:t>
        </w:r>
      </w:hyperlink>
      <w:r w:rsidR="005A1282">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 </w:t>
      </w:r>
    </w:p>
    <w:p w:rsidR="002B6CE1" w:rsidRPr="002D08EE" w:rsidRDefault="002B6CE1" w:rsidP="005A1282">
      <w:pPr>
        <w:pStyle w:val="Odsekzoznamu"/>
        <w:numPr>
          <w:ilvl w:val="0"/>
          <w:numId w:val="13"/>
        </w:numPr>
        <w:autoSpaceDE w:val="0"/>
        <w:autoSpaceDN w:val="0"/>
        <w:adjustRightInd w:val="0"/>
        <w:spacing w:before="120" w:after="120"/>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Operačný program Technická pomoc pre programové obdobie 2014-2020 (</w:t>
      </w:r>
      <w:hyperlink r:id="rId16" w:history="1">
        <w:r w:rsidR="005A1282" w:rsidRPr="00B1542C">
          <w:rPr>
            <w:rStyle w:val="Hypertextovprepojenie"/>
            <w:rFonts w:asciiTheme="minorHAnsi" w:eastAsiaTheme="minorHAnsi" w:hAnsiTheme="minorHAnsi"/>
            <w:sz w:val="22"/>
            <w:szCs w:val="22"/>
            <w:lang w:eastAsia="en-US"/>
          </w:rPr>
          <w:t>http://www.optp.vlada.gov.sk/programovy-dokument/</w:t>
        </w:r>
      </w:hyperlink>
      <w:r w:rsidR="005A1282">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 </w:t>
      </w:r>
    </w:p>
    <w:p w:rsidR="002B6CE1" w:rsidRPr="002D08EE" w:rsidRDefault="002B6CE1" w:rsidP="005A1282">
      <w:pPr>
        <w:pStyle w:val="Odsekzoznamu"/>
        <w:numPr>
          <w:ilvl w:val="0"/>
          <w:numId w:val="13"/>
        </w:numPr>
        <w:autoSpaceDE w:val="0"/>
        <w:autoSpaceDN w:val="0"/>
        <w:adjustRightInd w:val="0"/>
        <w:spacing w:before="120" w:after="120"/>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Metodický pokyn CKO č. 6 k pravidlám oprávnenosti pre najčastejšie sa vyskytujúce skupiny výdavkov (</w:t>
      </w:r>
      <w:hyperlink r:id="rId17" w:history="1">
        <w:r w:rsidR="005A1282" w:rsidRPr="00B1542C">
          <w:rPr>
            <w:rStyle w:val="Hypertextovprepojenie"/>
            <w:rFonts w:asciiTheme="minorHAnsi" w:eastAsiaTheme="minorHAnsi" w:hAnsiTheme="minorHAnsi"/>
            <w:sz w:val="22"/>
            <w:szCs w:val="22"/>
            <w:lang w:eastAsia="en-US"/>
          </w:rPr>
          <w:t>http://www.partnerskadohoda.gov.sk/metodicke-pokyny-cko/</w:t>
        </w:r>
      </w:hyperlink>
      <w:r w:rsidR="005A1282">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 </w:t>
      </w:r>
    </w:p>
    <w:p w:rsidR="002B6CE1" w:rsidRPr="002D08EE" w:rsidRDefault="002B6CE1" w:rsidP="005A1282">
      <w:pPr>
        <w:pStyle w:val="Odsekzoznamu"/>
        <w:numPr>
          <w:ilvl w:val="0"/>
          <w:numId w:val="13"/>
        </w:numPr>
        <w:autoSpaceDE w:val="0"/>
        <w:autoSpaceDN w:val="0"/>
        <w:adjustRightInd w:val="0"/>
        <w:spacing w:before="120" w:after="120"/>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Metodický pokyn CKO č. 18 k overovaniu hospodárnosti výdavkov na</w:t>
      </w:r>
      <w:r w:rsidR="00287F44"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programové obdobie 2014-2020 (</w:t>
      </w:r>
      <w:hyperlink r:id="rId18" w:history="1">
        <w:r w:rsidR="005A1282" w:rsidRPr="00B1542C">
          <w:rPr>
            <w:rStyle w:val="Hypertextovprepojenie"/>
            <w:rFonts w:asciiTheme="minorHAnsi" w:eastAsiaTheme="minorHAnsi" w:hAnsiTheme="minorHAnsi"/>
            <w:sz w:val="22"/>
            <w:szCs w:val="22"/>
            <w:lang w:eastAsia="en-US"/>
          </w:rPr>
          <w:t>http://www.partnerskadohoda.gov.sk/metodicke-pokyny-cko/</w:t>
        </w:r>
      </w:hyperlink>
      <w:r w:rsidR="005A1282">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 </w:t>
      </w:r>
    </w:p>
    <w:p w:rsidR="002B6CE1" w:rsidRPr="002D08EE" w:rsidRDefault="002B6CE1" w:rsidP="007F24AF">
      <w:pPr>
        <w:pStyle w:val="Odsekzoznamu"/>
        <w:numPr>
          <w:ilvl w:val="0"/>
          <w:numId w:val="13"/>
        </w:numPr>
        <w:autoSpaceDE w:val="0"/>
        <w:autoSpaceDN w:val="0"/>
        <w:adjustRightInd w:val="0"/>
        <w:spacing w:before="120" w:after="120"/>
        <w:ind w:left="1423"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Zákony a nariadenia, na ktoré sa uvedené dokumenty odvolávajú. </w:t>
      </w:r>
    </w:p>
    <w:p w:rsidR="002B6CE1" w:rsidRPr="002D08EE" w:rsidRDefault="002B6CE1" w:rsidP="00287F44">
      <w:pPr>
        <w:pStyle w:val="Odsekzoznamu"/>
        <w:numPr>
          <w:ilvl w:val="0"/>
          <w:numId w:val="7"/>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Časová oprávnenosť výdavkov </w:t>
      </w:r>
    </w:p>
    <w:p w:rsidR="00B1742D" w:rsidRPr="002D08EE" w:rsidRDefault="00B1742D" w:rsidP="00287F44">
      <w:pPr>
        <w:pStyle w:val="Odsekzoznamu"/>
        <w:spacing w:before="120" w:after="120"/>
        <w:ind w:left="708"/>
        <w:jc w:val="both"/>
        <w:rPr>
          <w:rFonts w:asciiTheme="minorHAnsi" w:eastAsiaTheme="minorHAnsi" w:hAnsiTheme="minorHAnsi"/>
          <w:color w:val="000000"/>
          <w:sz w:val="22"/>
          <w:szCs w:val="22"/>
          <w:lang w:eastAsia="en-US"/>
        </w:rPr>
      </w:pPr>
    </w:p>
    <w:p w:rsidR="002B6CE1" w:rsidRPr="002D08EE" w:rsidRDefault="002B6CE1" w:rsidP="00287F44">
      <w:pPr>
        <w:pStyle w:val="Odsekzoznamu"/>
        <w:spacing w:before="120" w:after="120"/>
        <w:ind w:left="708"/>
        <w:jc w:val="both"/>
        <w:rPr>
          <w:rFonts w:asciiTheme="minorHAnsi" w:hAnsiTheme="minorHAnsi"/>
          <w:sz w:val="22"/>
          <w:szCs w:val="22"/>
        </w:rPr>
      </w:pPr>
      <w:r w:rsidRPr="002D08EE">
        <w:rPr>
          <w:rFonts w:asciiTheme="minorHAnsi" w:eastAsiaTheme="minorHAnsi" w:hAnsiTheme="minorHAnsi"/>
          <w:color w:val="000000"/>
          <w:sz w:val="22"/>
          <w:szCs w:val="22"/>
          <w:lang w:eastAsia="en-US"/>
        </w:rPr>
        <w:t xml:space="preserve">Časová oprávnenosť výdavkov v rámci OP TP je stanovená </w:t>
      </w:r>
      <w:r w:rsidRPr="002D08EE">
        <w:rPr>
          <w:rFonts w:asciiTheme="minorHAnsi" w:eastAsiaTheme="minorHAnsi" w:hAnsiTheme="minorHAnsi"/>
          <w:b/>
          <w:bCs/>
          <w:color w:val="000000"/>
          <w:sz w:val="22"/>
          <w:szCs w:val="22"/>
          <w:lang w:eastAsia="en-US"/>
        </w:rPr>
        <w:t>od 1.1.2014</w:t>
      </w:r>
      <w:r w:rsidRPr="002D08EE">
        <w:rPr>
          <w:rFonts w:asciiTheme="minorHAnsi" w:eastAsiaTheme="minorHAnsi" w:hAnsiTheme="minorHAnsi"/>
          <w:color w:val="000000"/>
          <w:sz w:val="22"/>
          <w:szCs w:val="22"/>
          <w:lang w:eastAsia="en-US"/>
        </w:rPr>
        <w:t>. Dátum nadobudnutia účinnosti zmluvy o poskytnutí NFP (resp. rozhodnutia o schválení žiadosti o NFP, ak je RO a prijímateľ tá istá osoba) nemá vplyv na počiatočný dátum oprávnenosti výdavkov.</w:t>
      </w:r>
    </w:p>
    <w:p w:rsidR="002B6CE1" w:rsidRPr="002D08EE" w:rsidRDefault="002B6CE1" w:rsidP="00727285">
      <w:pPr>
        <w:pStyle w:val="Odsekzoznamu"/>
        <w:spacing w:before="120" w:after="120"/>
        <w:ind w:left="360"/>
        <w:jc w:val="both"/>
        <w:rPr>
          <w:rFonts w:asciiTheme="minorHAnsi" w:hAnsiTheme="minorHAnsi"/>
          <w:sz w:val="22"/>
          <w:szCs w:val="22"/>
        </w:rPr>
      </w:pPr>
    </w:p>
    <w:p w:rsidR="006829FC" w:rsidRPr="002D08EE" w:rsidRDefault="006829FC" w:rsidP="00727285">
      <w:pPr>
        <w:pStyle w:val="Odsekzoznamu"/>
        <w:numPr>
          <w:ilvl w:val="1"/>
          <w:numId w:val="1"/>
        </w:numPr>
        <w:spacing w:before="120" w:after="120"/>
        <w:contextualSpacing w:val="0"/>
        <w:rPr>
          <w:rFonts w:asciiTheme="minorHAnsi" w:hAnsiTheme="minorHAnsi"/>
          <w:b/>
          <w:sz w:val="22"/>
          <w:szCs w:val="22"/>
        </w:rPr>
      </w:pPr>
      <w:r w:rsidRPr="002D08EE">
        <w:rPr>
          <w:rFonts w:asciiTheme="minorHAnsi" w:hAnsiTheme="minorHAnsi"/>
          <w:b/>
          <w:sz w:val="22"/>
          <w:szCs w:val="22"/>
        </w:rPr>
        <w:t>Oprávnenosť miesta realizácie projektu</w:t>
      </w:r>
    </w:p>
    <w:p w:rsidR="002B6CE1" w:rsidRPr="002D08EE" w:rsidRDefault="00287F44" w:rsidP="00287F44">
      <w:pPr>
        <w:pStyle w:val="Odsekzoznamu"/>
        <w:numPr>
          <w:ilvl w:val="0"/>
          <w:numId w:val="7"/>
        </w:numPr>
        <w:spacing w:before="120" w:after="120"/>
        <w:jc w:val="both"/>
        <w:rPr>
          <w:rFonts w:asciiTheme="minorHAnsi" w:eastAsiaTheme="minorHAnsi" w:hAnsiTheme="minorHAnsi"/>
          <w:bCs/>
          <w:color w:val="000000"/>
          <w:sz w:val="22"/>
          <w:szCs w:val="22"/>
          <w:lang w:eastAsia="en-US"/>
        </w:rPr>
      </w:pPr>
      <w:r w:rsidRPr="002D08EE">
        <w:rPr>
          <w:rFonts w:asciiTheme="minorHAnsi" w:eastAsiaTheme="minorHAnsi" w:hAnsiTheme="minorHAnsi"/>
          <w:bCs/>
          <w:color w:val="000000"/>
          <w:sz w:val="22"/>
          <w:szCs w:val="22"/>
          <w:lang w:eastAsia="en-US"/>
        </w:rPr>
        <w:t>ž</w:t>
      </w:r>
      <w:r w:rsidR="002B6CE1" w:rsidRPr="002D08EE">
        <w:rPr>
          <w:rFonts w:asciiTheme="minorHAnsi" w:eastAsiaTheme="minorHAnsi" w:hAnsiTheme="minorHAnsi"/>
          <w:bCs/>
          <w:color w:val="000000"/>
          <w:sz w:val="22"/>
          <w:szCs w:val="22"/>
          <w:lang w:eastAsia="en-US"/>
        </w:rPr>
        <w:t>iadateľ je povinný realizov</w:t>
      </w:r>
      <w:r w:rsidRPr="002D08EE">
        <w:rPr>
          <w:rFonts w:asciiTheme="minorHAnsi" w:eastAsiaTheme="minorHAnsi" w:hAnsiTheme="minorHAnsi"/>
          <w:bCs/>
          <w:color w:val="000000"/>
          <w:sz w:val="22"/>
          <w:szCs w:val="22"/>
          <w:lang w:eastAsia="en-US"/>
        </w:rPr>
        <w:t>ať projekt na oprávnenom území</w:t>
      </w:r>
    </w:p>
    <w:p w:rsidR="006829FC" w:rsidRPr="002D08EE" w:rsidRDefault="002B6CE1" w:rsidP="00287F44">
      <w:pPr>
        <w:pStyle w:val="Odsekzoznamu"/>
        <w:spacing w:before="120" w:after="120"/>
        <w:ind w:left="360" w:firstLine="34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Pre toto vyzvanie je oprávneným územím </w:t>
      </w:r>
      <w:r w:rsidRPr="002D08EE">
        <w:rPr>
          <w:rFonts w:asciiTheme="minorHAnsi" w:eastAsiaTheme="minorHAnsi" w:hAnsiTheme="minorHAnsi"/>
          <w:b/>
          <w:bCs/>
          <w:color w:val="000000"/>
          <w:sz w:val="22"/>
          <w:szCs w:val="22"/>
          <w:lang w:eastAsia="en-US"/>
        </w:rPr>
        <w:t>celé územie Slovenskej republiky</w:t>
      </w:r>
      <w:r w:rsidRPr="002D08EE">
        <w:rPr>
          <w:rFonts w:asciiTheme="minorHAnsi" w:eastAsiaTheme="minorHAnsi" w:hAnsiTheme="minorHAnsi"/>
          <w:color w:val="000000"/>
          <w:sz w:val="22"/>
          <w:szCs w:val="22"/>
          <w:lang w:eastAsia="en-US"/>
        </w:rPr>
        <w:t>.</w:t>
      </w:r>
    </w:p>
    <w:p w:rsidR="002B6CE1" w:rsidRPr="002D08EE" w:rsidRDefault="002B6CE1" w:rsidP="00727285">
      <w:pPr>
        <w:pStyle w:val="Odsekzoznamu"/>
        <w:spacing w:before="120" w:after="120"/>
        <w:ind w:left="360"/>
        <w:jc w:val="both"/>
        <w:rPr>
          <w:rFonts w:asciiTheme="minorHAnsi" w:hAnsiTheme="minorHAnsi"/>
          <w:sz w:val="22"/>
          <w:szCs w:val="22"/>
        </w:rPr>
      </w:pPr>
    </w:p>
    <w:p w:rsidR="006829FC" w:rsidRPr="002D08EE" w:rsidRDefault="006829FC" w:rsidP="00727285">
      <w:pPr>
        <w:pStyle w:val="Odsekzoznamu"/>
        <w:numPr>
          <w:ilvl w:val="1"/>
          <w:numId w:val="1"/>
        </w:numPr>
        <w:spacing w:before="120" w:after="120"/>
        <w:contextualSpacing w:val="0"/>
        <w:rPr>
          <w:rFonts w:asciiTheme="minorHAnsi" w:hAnsiTheme="minorHAnsi"/>
          <w:b/>
          <w:sz w:val="22"/>
          <w:szCs w:val="22"/>
        </w:rPr>
      </w:pPr>
      <w:r w:rsidRPr="002D08EE">
        <w:rPr>
          <w:rFonts w:asciiTheme="minorHAnsi" w:hAnsiTheme="minorHAnsi"/>
          <w:b/>
          <w:sz w:val="22"/>
          <w:szCs w:val="22"/>
        </w:rPr>
        <w:t>Kritériá pre výber projektov</w:t>
      </w:r>
    </w:p>
    <w:p w:rsidR="002B6CE1" w:rsidRPr="002D08EE" w:rsidRDefault="002B6CE1" w:rsidP="00287F44">
      <w:pPr>
        <w:pStyle w:val="Odsekzoznamu"/>
        <w:numPr>
          <w:ilvl w:val="0"/>
          <w:numId w:val="7"/>
        </w:numPr>
        <w:spacing w:before="120" w:after="120"/>
        <w:contextualSpacing w:val="0"/>
        <w:jc w:val="both"/>
        <w:rPr>
          <w:rFonts w:asciiTheme="minorHAnsi" w:eastAsiaTheme="minorHAnsi" w:hAnsiTheme="minorHAnsi"/>
          <w:bCs/>
          <w:color w:val="000000"/>
          <w:sz w:val="22"/>
          <w:szCs w:val="22"/>
          <w:lang w:eastAsia="en-US"/>
        </w:rPr>
      </w:pPr>
      <w:r w:rsidRPr="002D08EE">
        <w:rPr>
          <w:rFonts w:asciiTheme="minorHAnsi" w:eastAsiaTheme="minorHAnsi" w:hAnsiTheme="minorHAnsi"/>
          <w:bCs/>
          <w:color w:val="000000"/>
          <w:sz w:val="22"/>
          <w:szCs w:val="22"/>
          <w:lang w:eastAsia="en-US"/>
        </w:rPr>
        <w:t>projekt je v súlade s kritériami pre výber pro</w:t>
      </w:r>
      <w:r w:rsidR="00287F44" w:rsidRPr="002D08EE">
        <w:rPr>
          <w:rFonts w:asciiTheme="minorHAnsi" w:eastAsiaTheme="minorHAnsi" w:hAnsiTheme="minorHAnsi"/>
          <w:bCs/>
          <w:color w:val="000000"/>
          <w:sz w:val="22"/>
          <w:szCs w:val="22"/>
          <w:lang w:eastAsia="en-US"/>
        </w:rPr>
        <w:t>jektov</w:t>
      </w:r>
    </w:p>
    <w:p w:rsidR="006829FC" w:rsidRPr="002D08EE" w:rsidRDefault="002B6CE1" w:rsidP="00287F44">
      <w:pPr>
        <w:pStyle w:val="Odsekzoznamu"/>
        <w:spacing w:before="120" w:after="120"/>
        <w:ind w:left="708"/>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Kritériá pre výber projektov schválené monitorovacím výborom sú zverejnené na</w:t>
      </w:r>
      <w:r w:rsidR="00287F44"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webovom sídle RO OP TP: </w:t>
      </w:r>
      <w:hyperlink r:id="rId19" w:history="1">
        <w:r w:rsidR="005A1282" w:rsidRPr="00B1542C">
          <w:rPr>
            <w:rStyle w:val="Hypertextovprepojenie"/>
          </w:rPr>
          <w:t>http://www.optp.vlada.gov.sk/ine-dokumenty/</w:t>
        </w:r>
      </w:hyperlink>
      <w:r w:rsidR="005A1282">
        <w:t xml:space="preserve"> </w:t>
      </w:r>
      <w:r w:rsidRPr="002D08EE">
        <w:rPr>
          <w:rFonts w:asciiTheme="minorHAnsi" w:eastAsiaTheme="minorHAnsi" w:hAnsiTheme="minorHAnsi"/>
          <w:color w:val="000000"/>
          <w:sz w:val="22"/>
          <w:szCs w:val="22"/>
          <w:lang w:eastAsia="en-US"/>
        </w:rPr>
        <w:t>.</w:t>
      </w:r>
    </w:p>
    <w:p w:rsidR="002B6CE1" w:rsidRPr="002D08EE" w:rsidRDefault="002B6CE1" w:rsidP="00727285">
      <w:pPr>
        <w:pStyle w:val="Odsekzoznamu"/>
        <w:spacing w:before="120" w:after="120"/>
        <w:ind w:left="360"/>
        <w:jc w:val="both"/>
        <w:rPr>
          <w:rFonts w:asciiTheme="minorHAnsi" w:hAnsiTheme="minorHAnsi"/>
          <w:sz w:val="22"/>
          <w:szCs w:val="22"/>
        </w:rPr>
      </w:pPr>
    </w:p>
    <w:p w:rsidR="006829FC" w:rsidRPr="002D08EE" w:rsidRDefault="006829FC" w:rsidP="00727285">
      <w:pPr>
        <w:pStyle w:val="Odsekzoznamu"/>
        <w:numPr>
          <w:ilvl w:val="1"/>
          <w:numId w:val="1"/>
        </w:numPr>
        <w:spacing w:before="120" w:after="120"/>
        <w:contextualSpacing w:val="0"/>
        <w:rPr>
          <w:rFonts w:asciiTheme="minorHAnsi" w:hAnsiTheme="minorHAnsi"/>
          <w:b/>
          <w:sz w:val="22"/>
          <w:szCs w:val="22"/>
        </w:rPr>
      </w:pPr>
      <w:r w:rsidRPr="002D08EE">
        <w:rPr>
          <w:rFonts w:asciiTheme="minorHAnsi" w:hAnsiTheme="minorHAnsi"/>
          <w:b/>
          <w:sz w:val="22"/>
          <w:szCs w:val="22"/>
        </w:rPr>
        <w:t>Spôsob financovania</w:t>
      </w:r>
    </w:p>
    <w:p w:rsidR="006829FC" w:rsidRPr="002D08EE" w:rsidRDefault="002B6CE1" w:rsidP="00287F44">
      <w:pPr>
        <w:pStyle w:val="Odsekzoznamu"/>
        <w:numPr>
          <w:ilvl w:val="0"/>
          <w:numId w:val="7"/>
        </w:numPr>
        <w:tabs>
          <w:tab w:val="left" w:pos="3119"/>
        </w:tabs>
        <w:autoSpaceDE w:val="0"/>
        <w:autoSpaceDN w:val="0"/>
        <w:adjustRightInd w:val="0"/>
        <w:spacing w:before="120" w:after="120"/>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bCs/>
          <w:color w:val="000000"/>
          <w:sz w:val="22"/>
          <w:szCs w:val="22"/>
          <w:lang w:eastAsia="en-US"/>
        </w:rPr>
        <w:t xml:space="preserve">spôsob financovania – </w:t>
      </w:r>
      <w:r w:rsidRPr="002D08EE">
        <w:rPr>
          <w:rFonts w:asciiTheme="minorHAnsi" w:eastAsiaTheme="minorHAnsi" w:hAnsiTheme="minorHAnsi"/>
          <w:b/>
          <w:bCs/>
          <w:color w:val="000000"/>
          <w:sz w:val="22"/>
          <w:szCs w:val="22"/>
          <w:lang w:eastAsia="en-US"/>
        </w:rPr>
        <w:t>systém refundácie</w:t>
      </w:r>
    </w:p>
    <w:p w:rsidR="002B6CE1" w:rsidRPr="002D08EE" w:rsidRDefault="002B6CE1" w:rsidP="00287F44">
      <w:pPr>
        <w:autoSpaceDE w:val="0"/>
        <w:autoSpaceDN w:val="0"/>
        <w:adjustRightInd w:val="0"/>
        <w:spacing w:before="120" w:after="120"/>
        <w:ind w:left="70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rámci tohto vyzvania </w:t>
      </w:r>
      <w:r w:rsidR="00966802" w:rsidRPr="002D08EE">
        <w:rPr>
          <w:rFonts w:asciiTheme="minorHAnsi" w:eastAsiaTheme="minorHAnsi" w:hAnsiTheme="minorHAnsi"/>
          <w:color w:val="000000"/>
          <w:sz w:val="22"/>
          <w:szCs w:val="22"/>
          <w:lang w:eastAsia="en-US"/>
        </w:rPr>
        <w:t>je</w:t>
      </w:r>
      <w:r w:rsidRPr="002D08EE">
        <w:rPr>
          <w:rFonts w:asciiTheme="minorHAnsi" w:eastAsiaTheme="minorHAnsi" w:hAnsiTheme="minorHAnsi"/>
          <w:color w:val="000000"/>
          <w:sz w:val="22"/>
          <w:szCs w:val="22"/>
          <w:lang w:eastAsia="en-US"/>
        </w:rPr>
        <w:t xml:space="preserve"> určen</w:t>
      </w:r>
      <w:r w:rsidR="00966802" w:rsidRPr="002D08EE">
        <w:rPr>
          <w:rFonts w:asciiTheme="minorHAnsi" w:eastAsiaTheme="minorHAnsi" w:hAnsiTheme="minorHAnsi"/>
          <w:color w:val="000000"/>
          <w:sz w:val="22"/>
          <w:szCs w:val="22"/>
          <w:lang w:eastAsia="en-US"/>
        </w:rPr>
        <w:t>ý</w:t>
      </w:r>
      <w:r w:rsidRPr="002D08EE">
        <w:rPr>
          <w:rFonts w:asciiTheme="minorHAnsi" w:eastAsiaTheme="minorHAnsi" w:hAnsiTheme="minorHAnsi"/>
          <w:color w:val="000000"/>
          <w:sz w:val="22"/>
          <w:szCs w:val="22"/>
          <w:lang w:eastAsia="en-US"/>
        </w:rPr>
        <w:t xml:space="preserve"> spôsoby financovania v súlade s platným Systémom finančného riadenia štrukturálnych fondov, Kohézneho fondu a Európskeho námorného a rybárskeho fondu na programové obdobie 2014 – 2020 (http://www.finance.gov.sk/Default.aspx?CatID=9348). </w:t>
      </w:r>
    </w:p>
    <w:p w:rsidR="002B6CE1" w:rsidRPr="002D08EE" w:rsidRDefault="002B6CE1" w:rsidP="00727285">
      <w:pPr>
        <w:pStyle w:val="Odsekzoznamu"/>
        <w:numPr>
          <w:ilvl w:val="0"/>
          <w:numId w:val="7"/>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forma poskytovaného príspevku: </w:t>
      </w:r>
      <w:r w:rsidRPr="002D08EE">
        <w:rPr>
          <w:rFonts w:asciiTheme="minorHAnsi" w:eastAsiaTheme="minorHAnsi" w:hAnsiTheme="minorHAnsi"/>
          <w:b/>
          <w:bCs/>
          <w:color w:val="000000"/>
          <w:sz w:val="22"/>
          <w:szCs w:val="22"/>
          <w:lang w:eastAsia="en-US"/>
        </w:rPr>
        <w:t>nenávratný finančný príspevok</w:t>
      </w:r>
      <w:r w:rsidRPr="002D08EE">
        <w:rPr>
          <w:rFonts w:asciiTheme="minorHAnsi" w:eastAsiaTheme="minorHAnsi" w:hAnsiTheme="minorHAnsi"/>
          <w:color w:val="000000"/>
          <w:sz w:val="22"/>
          <w:szCs w:val="22"/>
          <w:lang w:eastAsia="en-US"/>
        </w:rPr>
        <w:t xml:space="preserve">. </w:t>
      </w:r>
    </w:p>
    <w:p w:rsidR="002B6CE1" w:rsidRPr="002D08EE" w:rsidRDefault="002B6CE1" w:rsidP="00727285">
      <w:pPr>
        <w:pStyle w:val="Odsekzoznamu"/>
        <w:spacing w:before="120" w:after="120"/>
        <w:ind w:left="360"/>
        <w:jc w:val="both"/>
        <w:rPr>
          <w:rFonts w:asciiTheme="minorHAnsi" w:hAnsiTheme="minorHAnsi"/>
          <w:sz w:val="22"/>
          <w:szCs w:val="22"/>
        </w:rPr>
      </w:pPr>
    </w:p>
    <w:p w:rsidR="002B6CE1" w:rsidRPr="002D08EE" w:rsidRDefault="006829FC" w:rsidP="00727285">
      <w:pPr>
        <w:pStyle w:val="Odsekzoznamu"/>
        <w:numPr>
          <w:ilvl w:val="1"/>
          <w:numId w:val="1"/>
        </w:numPr>
        <w:spacing w:before="120" w:after="120"/>
        <w:contextualSpacing w:val="0"/>
        <w:rPr>
          <w:rFonts w:asciiTheme="minorHAnsi" w:hAnsiTheme="minorHAnsi"/>
          <w:b/>
          <w:sz w:val="22"/>
          <w:szCs w:val="22"/>
        </w:rPr>
      </w:pPr>
      <w:r w:rsidRPr="002D08EE">
        <w:rPr>
          <w:rFonts w:asciiTheme="minorHAnsi" w:hAnsiTheme="minorHAnsi"/>
          <w:b/>
          <w:sz w:val="22"/>
          <w:szCs w:val="22"/>
        </w:rPr>
        <w:t>Splnenie podmienok ustanovených v osobitných predpisoch</w:t>
      </w:r>
    </w:p>
    <w:p w:rsidR="002B6CE1" w:rsidRPr="002D08EE" w:rsidRDefault="002B6CE1" w:rsidP="00287F44">
      <w:pPr>
        <w:pStyle w:val="Odsekzoznamu"/>
        <w:numPr>
          <w:ilvl w:val="0"/>
          <w:numId w:val="14"/>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neporušenie zákazu nelegálnej práce a nelegálneho zamestnávania </w:t>
      </w:r>
      <w:r w:rsidR="000D6D0F" w:rsidRPr="00E97414">
        <w:rPr>
          <w:rFonts w:asciiTheme="minorHAnsi" w:eastAsiaTheme="minorHAnsi" w:hAnsiTheme="minorHAnsi"/>
          <w:color w:val="000000"/>
          <w:sz w:val="22"/>
          <w:szCs w:val="22"/>
          <w:lang w:eastAsia="en-US"/>
        </w:rPr>
        <w:t>podľa osobitného predpisu</w:t>
      </w:r>
      <w:r w:rsidR="000D6D0F">
        <w:rPr>
          <w:rStyle w:val="Odkaznapoznmkupodiarou"/>
          <w:rFonts w:eastAsiaTheme="minorHAnsi"/>
          <w:color w:val="000000"/>
          <w:sz w:val="22"/>
          <w:szCs w:val="22"/>
          <w:lang w:eastAsia="en-US"/>
        </w:rPr>
        <w:footnoteReference w:id="3"/>
      </w:r>
      <w:r w:rsidR="000D6D0F" w:rsidRPr="00E97414">
        <w:rPr>
          <w:rFonts w:asciiTheme="minorHAnsi" w:eastAsiaTheme="minorHAnsi" w:hAnsiTheme="minorHAnsi"/>
          <w:color w:val="000000"/>
          <w:sz w:val="22"/>
          <w:szCs w:val="22"/>
          <w:lang w:eastAsia="en-US"/>
        </w:rPr>
        <w:t xml:space="preserve">  za obdobie piatich rokov predchádzajúcich podaniu žiadosti o NFP</w:t>
      </w:r>
      <w:r w:rsidR="000D6D0F" w:rsidRPr="002D08EE">
        <w:rPr>
          <w:rFonts w:asciiTheme="minorHAnsi" w:eastAsiaTheme="minorHAnsi" w:hAnsiTheme="minorHAnsi"/>
          <w:color w:val="000000"/>
          <w:sz w:val="22"/>
          <w:szCs w:val="22"/>
          <w:lang w:eastAsia="en-US"/>
        </w:rPr>
        <w:t xml:space="preserve"> </w:t>
      </w:r>
    </w:p>
    <w:p w:rsidR="006829FC" w:rsidRPr="002D08EE" w:rsidRDefault="002B6CE1" w:rsidP="00287F44">
      <w:pPr>
        <w:spacing w:before="120" w:after="120"/>
        <w:ind w:left="708"/>
        <w:jc w:val="both"/>
        <w:rPr>
          <w:rFonts w:asciiTheme="minorHAnsi" w:hAnsiTheme="minorHAnsi"/>
          <w:sz w:val="22"/>
          <w:szCs w:val="22"/>
        </w:rPr>
      </w:pPr>
      <w:r w:rsidRPr="002D08EE">
        <w:rPr>
          <w:rFonts w:asciiTheme="minorHAnsi" w:eastAsiaTheme="minorHAnsi" w:hAnsiTheme="minorHAnsi"/>
          <w:color w:val="000000"/>
          <w:sz w:val="22"/>
          <w:szCs w:val="22"/>
          <w:lang w:eastAsia="en-US"/>
        </w:rPr>
        <w:t>Žiadateľ predloží čestné vyhlásenie, že neporušil zákaz nelegálnej práce a nelegálneho zamestnávania v zmysle zákona č. 82/2005 Z. z. o nelegálnej práci a nelegálnom zamestnávaní a o zmene a doplnení niektorých zákonov v znení neskorších predpisov za obdobie 5 rokov predchádzajúcich podaniu žiadosti o NFP (ako súčasť žiadosti o</w:t>
      </w:r>
      <w:r w:rsidR="00287F44"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NFP). Riadiaci orgán je oprávnený dodatočne požiadať žiadateľa o preukázanie neporušenie zákazu nelegálnej práce a nelegálneho zamestnávania potvrdením príslušného inšpektorátu práce.</w:t>
      </w:r>
    </w:p>
    <w:p w:rsidR="006829FC" w:rsidRPr="002D08EE" w:rsidRDefault="006829FC" w:rsidP="00287F44">
      <w:pPr>
        <w:pStyle w:val="Odsekzoznamu"/>
        <w:numPr>
          <w:ilvl w:val="1"/>
          <w:numId w:val="1"/>
        </w:numPr>
        <w:spacing w:before="120" w:after="120"/>
        <w:contextualSpacing w:val="0"/>
        <w:rPr>
          <w:rFonts w:asciiTheme="minorHAnsi" w:hAnsiTheme="minorHAnsi"/>
          <w:b/>
          <w:sz w:val="22"/>
          <w:szCs w:val="22"/>
        </w:rPr>
      </w:pPr>
      <w:r w:rsidRPr="002D08EE">
        <w:rPr>
          <w:rFonts w:asciiTheme="minorHAnsi" w:hAnsiTheme="minorHAnsi"/>
          <w:b/>
          <w:sz w:val="22"/>
          <w:szCs w:val="22"/>
        </w:rPr>
        <w:t>Ďalšie podmienky poskytnutia príspevku</w:t>
      </w:r>
    </w:p>
    <w:p w:rsidR="002B6CE1" w:rsidRPr="002D08EE" w:rsidRDefault="002B6CE1" w:rsidP="00287F44">
      <w:pPr>
        <w:pStyle w:val="Odsekzoznamu"/>
        <w:numPr>
          <w:ilvl w:val="0"/>
          <w:numId w:val="14"/>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oprávnenosť z hľadiska súladu s horizontálnymi princípmi rovnosť mužov a žien a nediskriminácia </w:t>
      </w:r>
    </w:p>
    <w:p w:rsidR="002B6CE1" w:rsidRPr="002D08EE" w:rsidRDefault="002B6CE1" w:rsidP="00287F44">
      <w:pPr>
        <w:autoSpaceDE w:val="0"/>
        <w:autoSpaceDN w:val="0"/>
        <w:adjustRightInd w:val="0"/>
        <w:spacing w:before="120" w:after="120"/>
        <w:ind w:left="70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Projekt, ktorý je predmetom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musí byť v súlade s horizontálnymi princípmi rovnosť mužov a žien a nediskriminácia, ktoré sú definované v Partnerskej dohode na</w:t>
      </w:r>
      <w:r w:rsidR="00287F44"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roky 2014 – 2020 a v čl. 7 a 8 všeobecného nariadenia</w:t>
      </w:r>
      <w:r w:rsidRPr="002D08EE">
        <w:rPr>
          <w:rStyle w:val="Odkaznapoznmkupodiarou"/>
          <w:rFonts w:asciiTheme="minorHAnsi" w:eastAsiaTheme="minorHAnsi" w:hAnsiTheme="minorHAnsi"/>
          <w:color w:val="000000"/>
          <w:sz w:val="22"/>
          <w:szCs w:val="22"/>
          <w:lang w:eastAsia="en-US"/>
        </w:rPr>
        <w:footnoteReference w:id="4"/>
      </w:r>
      <w:r w:rsidRPr="002D08EE">
        <w:rPr>
          <w:rFonts w:asciiTheme="minorHAnsi" w:eastAsiaTheme="minorHAnsi" w:hAnsiTheme="minorHAnsi"/>
          <w:color w:val="000000"/>
          <w:sz w:val="22"/>
          <w:szCs w:val="22"/>
          <w:lang w:eastAsia="en-US"/>
        </w:rPr>
        <w:t xml:space="preserve">. </w:t>
      </w:r>
    </w:p>
    <w:p w:rsidR="002B6CE1" w:rsidRPr="002D08EE" w:rsidRDefault="002B6CE1" w:rsidP="00727285">
      <w:pPr>
        <w:pStyle w:val="Odsekzoznamu"/>
        <w:numPr>
          <w:ilvl w:val="0"/>
          <w:numId w:val="7"/>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časová oprávnenosť realizácie projektu </w:t>
      </w:r>
    </w:p>
    <w:p w:rsidR="002B6CE1" w:rsidRPr="002D08EE" w:rsidRDefault="002B6CE1" w:rsidP="00727285">
      <w:pPr>
        <w:pStyle w:val="Odsekzoznamu"/>
        <w:spacing w:before="120" w:after="120"/>
        <w:ind w:left="0"/>
        <w:jc w:val="both"/>
        <w:rPr>
          <w:rFonts w:asciiTheme="minorHAnsi" w:eastAsiaTheme="minorHAnsi" w:hAnsiTheme="minorHAnsi"/>
          <w:color w:val="000000"/>
          <w:sz w:val="22"/>
          <w:szCs w:val="22"/>
          <w:lang w:eastAsia="en-US"/>
        </w:rPr>
      </w:pPr>
    </w:p>
    <w:p w:rsidR="006829FC" w:rsidRPr="002D08EE" w:rsidRDefault="002B6CE1" w:rsidP="00287F44">
      <w:pPr>
        <w:pStyle w:val="Odsekzoznamu"/>
        <w:spacing w:before="120" w:after="120"/>
        <w:ind w:left="708"/>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Hlavné aktivity projektu je prijímateľ povinný začať realizovať najneskôr do 3 mesiacov od nadobudnutia účinnosti zmluvy o poskytnutí NFP</w:t>
      </w:r>
      <w:r w:rsidR="00B15795" w:rsidRPr="00963010">
        <w:rPr>
          <w:rFonts w:asciiTheme="minorHAnsi" w:hAnsiTheme="minorHAnsi"/>
          <w:color w:val="000000"/>
          <w:sz w:val="22"/>
          <w:szCs w:val="22"/>
        </w:rPr>
        <w:t>.</w:t>
      </w:r>
      <w:r w:rsidRPr="002D08EE">
        <w:rPr>
          <w:rFonts w:asciiTheme="minorHAnsi" w:eastAsiaTheme="minorHAnsi" w:hAnsiTheme="minorHAnsi"/>
          <w:color w:val="000000"/>
          <w:sz w:val="22"/>
          <w:szCs w:val="22"/>
          <w:lang w:eastAsia="en-US"/>
        </w:rPr>
        <w:t xml:space="preserve"> Aktivity projektu je prijímateľ povinný ukončiť </w:t>
      </w:r>
      <w:r w:rsidRPr="002D08EE">
        <w:rPr>
          <w:rFonts w:asciiTheme="minorHAnsi" w:eastAsiaTheme="minorHAnsi" w:hAnsiTheme="minorHAnsi"/>
          <w:b/>
          <w:bCs/>
          <w:color w:val="000000"/>
          <w:sz w:val="22"/>
          <w:szCs w:val="22"/>
          <w:lang w:eastAsia="en-US"/>
        </w:rPr>
        <w:t>najneskôr do 31.12.2018</w:t>
      </w:r>
      <w:r w:rsidRPr="002D08EE">
        <w:rPr>
          <w:rFonts w:asciiTheme="minorHAnsi" w:eastAsiaTheme="minorHAnsi" w:hAnsiTheme="minorHAnsi"/>
          <w:color w:val="000000"/>
          <w:sz w:val="22"/>
          <w:szCs w:val="22"/>
          <w:lang w:eastAsia="en-US"/>
        </w:rPr>
        <w:t>. Žiadateľ o NFP je oprávnený predložiť v rámci vyzvania viacero žiadostí o NFP.</w:t>
      </w:r>
    </w:p>
    <w:p w:rsidR="002B6CE1" w:rsidRPr="002D08EE" w:rsidRDefault="002B6CE1" w:rsidP="00727285">
      <w:pPr>
        <w:pStyle w:val="Odsekzoznamu"/>
        <w:spacing w:before="120" w:after="120"/>
        <w:ind w:left="0"/>
        <w:jc w:val="both"/>
        <w:rPr>
          <w:rFonts w:asciiTheme="minorHAnsi" w:hAnsiTheme="minorHAnsi"/>
          <w:sz w:val="22"/>
          <w:szCs w:val="22"/>
        </w:rPr>
      </w:pPr>
    </w:p>
    <w:p w:rsidR="003F2A48" w:rsidRPr="002D08EE" w:rsidRDefault="003F2A48" w:rsidP="00727285">
      <w:pPr>
        <w:pStyle w:val="Odsekzoznamu"/>
        <w:numPr>
          <w:ilvl w:val="0"/>
          <w:numId w:val="7"/>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podmienka povinného definovania merateľných ukazovateľov projektu </w:t>
      </w:r>
    </w:p>
    <w:p w:rsidR="006829FC" w:rsidRPr="002D08EE" w:rsidRDefault="003F2A48" w:rsidP="00287F44">
      <w:pPr>
        <w:spacing w:before="120" w:after="120"/>
        <w:ind w:left="708"/>
        <w:jc w:val="both"/>
        <w:rPr>
          <w:rFonts w:asciiTheme="minorHAnsi" w:hAnsiTheme="minorHAnsi"/>
          <w:color w:val="1F497D"/>
          <w:sz w:val="22"/>
          <w:szCs w:val="22"/>
        </w:rPr>
      </w:pPr>
      <w:r w:rsidRPr="002D08EE">
        <w:rPr>
          <w:rFonts w:asciiTheme="minorHAnsi" w:hAnsiTheme="minorHAnsi"/>
          <w:sz w:val="22"/>
          <w:szCs w:val="22"/>
        </w:rPr>
        <w:t>Výstupy/výsledky, ktoré majú byť dosiahnuté realizáciou aktivít projektu musia byť</w:t>
      </w:r>
      <w:r w:rsidR="00B1742D" w:rsidRPr="002D08EE">
        <w:rPr>
          <w:rFonts w:asciiTheme="minorHAnsi" w:hAnsiTheme="minorHAnsi"/>
          <w:sz w:val="22"/>
          <w:szCs w:val="22"/>
        </w:rPr>
        <w:t xml:space="preserve"> kvantifikované prostredníctvom </w:t>
      </w:r>
      <w:r w:rsidRPr="002D08EE">
        <w:rPr>
          <w:rFonts w:asciiTheme="minorHAnsi" w:hAnsiTheme="minorHAnsi"/>
          <w:b/>
          <w:bCs/>
          <w:sz w:val="22"/>
          <w:szCs w:val="22"/>
        </w:rPr>
        <w:t xml:space="preserve">merateľných ukazovateľov </w:t>
      </w:r>
      <w:r w:rsidRPr="002D08EE">
        <w:rPr>
          <w:rFonts w:asciiTheme="minorHAnsi" w:hAnsiTheme="minorHAnsi"/>
          <w:sz w:val="22"/>
          <w:szCs w:val="22"/>
        </w:rPr>
        <w:t>definovaných v</w:t>
      </w:r>
      <w:r w:rsidR="00287F44" w:rsidRPr="002D08EE">
        <w:rPr>
          <w:rFonts w:asciiTheme="minorHAnsi" w:hAnsiTheme="minorHAnsi"/>
          <w:sz w:val="22"/>
          <w:szCs w:val="22"/>
        </w:rPr>
        <w:t> </w:t>
      </w:r>
      <w:r w:rsidRPr="002D08EE">
        <w:rPr>
          <w:rFonts w:asciiTheme="minorHAnsi" w:hAnsiTheme="minorHAnsi"/>
          <w:sz w:val="22"/>
          <w:szCs w:val="22"/>
        </w:rPr>
        <w:t xml:space="preserve">dokumente Zoznam povinných merateľných ukazovateľov, ktorý tvorí prílohu tohto vyzvania. V dokumente je uvedený aj spôsob, akým je určovaná plánovaná hodnota merateľných ukazovateľov. </w:t>
      </w:r>
      <w:r w:rsidR="006829FC" w:rsidRPr="002D08EE">
        <w:rPr>
          <w:rFonts w:asciiTheme="minorHAnsi" w:hAnsiTheme="minorHAnsi"/>
          <w:color w:val="1F497D"/>
          <w:sz w:val="22"/>
          <w:szCs w:val="22"/>
        </w:rPr>
        <w:t xml:space="preserve"> </w:t>
      </w:r>
    </w:p>
    <w:p w:rsidR="003F2A48" w:rsidRPr="002D08EE" w:rsidRDefault="003F2A48" w:rsidP="00727285">
      <w:pPr>
        <w:pStyle w:val="Odsekzoznamu"/>
        <w:numPr>
          <w:ilvl w:val="0"/>
          <w:numId w:val="7"/>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Povinné prílohy k žiadosti o NFP: </w:t>
      </w:r>
    </w:p>
    <w:p w:rsidR="000D6D0F" w:rsidRDefault="003F2A48" w:rsidP="00727285">
      <w:pPr>
        <w:pStyle w:val="Odsekzoznamu"/>
        <w:numPr>
          <w:ilvl w:val="1"/>
          <w:numId w:val="2"/>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b/>
          <w:bCs/>
          <w:color w:val="000000"/>
          <w:sz w:val="22"/>
          <w:szCs w:val="22"/>
          <w:lang w:eastAsia="en-US"/>
        </w:rPr>
        <w:t xml:space="preserve">Opis projektu </w:t>
      </w:r>
      <w:r w:rsidRPr="002D08EE">
        <w:rPr>
          <w:rFonts w:asciiTheme="minorHAnsi" w:eastAsiaTheme="minorHAnsi" w:hAnsiTheme="minorHAnsi"/>
          <w:color w:val="000000"/>
          <w:sz w:val="22"/>
          <w:szCs w:val="22"/>
          <w:lang w:eastAsia="en-US"/>
        </w:rPr>
        <w:t>– pomocný výpočet žiadanej sumy - popis metodiky výpočtu žiadanej sumy a matematický výpočet</w:t>
      </w:r>
    </w:p>
    <w:p w:rsidR="003F2A48" w:rsidRPr="002D08EE" w:rsidRDefault="000D6D0F" w:rsidP="00727285">
      <w:pPr>
        <w:pStyle w:val="Odsekzoznamu"/>
        <w:numPr>
          <w:ilvl w:val="1"/>
          <w:numId w:val="2"/>
        </w:numPr>
        <w:autoSpaceDE w:val="0"/>
        <w:autoSpaceDN w:val="0"/>
        <w:adjustRightInd w:val="0"/>
        <w:spacing w:before="120" w:after="120"/>
        <w:rPr>
          <w:rFonts w:asciiTheme="minorHAnsi" w:eastAsiaTheme="minorHAnsi" w:hAnsiTheme="minorHAnsi"/>
          <w:color w:val="000000"/>
          <w:sz w:val="22"/>
          <w:szCs w:val="22"/>
          <w:lang w:eastAsia="en-US"/>
        </w:rPr>
      </w:pPr>
      <w:r w:rsidRPr="00A474BB">
        <w:rPr>
          <w:rFonts w:asciiTheme="minorHAnsi" w:eastAsiaTheme="minorHAnsi" w:hAnsiTheme="minorHAnsi"/>
          <w:b/>
          <w:color w:val="000000"/>
          <w:sz w:val="22"/>
          <w:szCs w:val="22"/>
          <w:lang w:eastAsia="en-US"/>
        </w:rPr>
        <w:t>Čestné vyhlásenie partnera žiadateľa o NFP</w:t>
      </w:r>
      <w:r w:rsidR="003F2A48" w:rsidRPr="002D08EE">
        <w:rPr>
          <w:rFonts w:asciiTheme="minorHAnsi" w:eastAsiaTheme="minorHAnsi" w:hAnsiTheme="minorHAnsi"/>
          <w:color w:val="000000"/>
          <w:sz w:val="22"/>
          <w:szCs w:val="22"/>
          <w:lang w:eastAsia="en-US"/>
        </w:rPr>
        <w:t xml:space="preserve">. </w:t>
      </w:r>
    </w:p>
    <w:p w:rsidR="003F2A48" w:rsidRPr="002D08EE" w:rsidRDefault="003F2A48" w:rsidP="00727285">
      <w:pPr>
        <w:spacing w:before="120" w:after="120"/>
        <w:ind w:firstLine="708"/>
        <w:jc w:val="both"/>
        <w:rPr>
          <w:rFonts w:asciiTheme="minorHAnsi" w:hAnsiTheme="minorHAnsi"/>
          <w:color w:val="1F497D"/>
          <w:sz w:val="22"/>
          <w:szCs w:val="22"/>
        </w:rPr>
      </w:pPr>
    </w:p>
    <w:p w:rsidR="006829FC" w:rsidRPr="002D08EE" w:rsidRDefault="006829FC" w:rsidP="00727285">
      <w:pPr>
        <w:pStyle w:val="Odsekzoznamu"/>
        <w:numPr>
          <w:ilvl w:val="0"/>
          <w:numId w:val="1"/>
        </w:numPr>
        <w:pBdr>
          <w:top w:val="single" w:sz="4" w:space="1" w:color="auto"/>
          <w:left w:val="single" w:sz="4" w:space="4" w:color="auto"/>
          <w:bottom w:val="single" w:sz="4" w:space="1" w:color="auto"/>
          <w:right w:val="single" w:sz="4" w:space="4" w:color="auto"/>
        </w:pBdr>
        <w:shd w:val="clear" w:color="auto" w:fill="CCC0D9" w:themeFill="accent4" w:themeFillTint="66"/>
        <w:spacing w:before="120" w:after="120"/>
        <w:jc w:val="center"/>
        <w:rPr>
          <w:b/>
          <w:sz w:val="28"/>
          <w:szCs w:val="28"/>
        </w:rPr>
      </w:pPr>
      <w:r w:rsidRPr="002D08EE">
        <w:rPr>
          <w:b/>
          <w:sz w:val="28"/>
          <w:szCs w:val="28"/>
        </w:rPr>
        <w:t>Overovanie podmienok poskytnutia príspevku a ďalšie informácie k v</w:t>
      </w:r>
      <w:r w:rsidR="00727285" w:rsidRPr="002D08EE">
        <w:rPr>
          <w:b/>
          <w:sz w:val="28"/>
          <w:szCs w:val="28"/>
        </w:rPr>
        <w:t>y</w:t>
      </w:r>
      <w:r w:rsidRPr="002D08EE">
        <w:rPr>
          <w:b/>
          <w:sz w:val="28"/>
          <w:szCs w:val="28"/>
        </w:rPr>
        <w:t>zv</w:t>
      </w:r>
      <w:r w:rsidR="00727285" w:rsidRPr="002D08EE">
        <w:rPr>
          <w:b/>
          <w:sz w:val="28"/>
          <w:szCs w:val="28"/>
        </w:rPr>
        <w:t>aniu</w:t>
      </w:r>
    </w:p>
    <w:p w:rsidR="00287F44" w:rsidRPr="002D08EE" w:rsidRDefault="00287F44" w:rsidP="00287F44">
      <w:pPr>
        <w:pStyle w:val="Odsekzoznamu"/>
        <w:autoSpaceDE w:val="0"/>
        <w:autoSpaceDN w:val="0"/>
        <w:adjustRightInd w:val="0"/>
        <w:spacing w:before="120" w:after="120"/>
        <w:ind w:left="360"/>
        <w:rPr>
          <w:rFonts w:asciiTheme="minorHAnsi" w:eastAsiaTheme="minorHAnsi" w:hAnsiTheme="minorHAnsi"/>
          <w:color w:val="000000"/>
          <w:sz w:val="22"/>
          <w:szCs w:val="22"/>
          <w:lang w:eastAsia="en-US"/>
        </w:rPr>
      </w:pPr>
    </w:p>
    <w:p w:rsidR="003F2A48" w:rsidRPr="002D08EE" w:rsidRDefault="003F2A48" w:rsidP="00287F44">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V rámci tejto časti RO OP TP definuje informácie týkajúce sa schvaľovacieho procesu, príspevku k HP ako aj uzavretiu zmluvy o NFP z dôvodu, že RO OP TP v súlade s</w:t>
      </w:r>
      <w:r w:rsidR="00287F44"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Metodickým pokynom CKO č. 24</w:t>
      </w:r>
      <w:r w:rsidR="006148A8">
        <w:rPr>
          <w:rFonts w:asciiTheme="minorHAnsi" w:eastAsiaTheme="minorHAnsi" w:hAnsiTheme="minorHAnsi"/>
          <w:color w:val="000000"/>
          <w:sz w:val="22"/>
          <w:szCs w:val="22"/>
          <w:lang w:eastAsia="en-US"/>
        </w:rPr>
        <w:br/>
      </w:r>
      <w:r w:rsidRPr="002D08EE">
        <w:rPr>
          <w:rFonts w:asciiTheme="minorHAnsi" w:eastAsiaTheme="minorHAnsi" w:hAnsiTheme="minorHAnsi"/>
          <w:color w:val="000000"/>
          <w:sz w:val="22"/>
          <w:szCs w:val="22"/>
          <w:lang w:eastAsia="en-US"/>
        </w:rPr>
        <w:t xml:space="preserve">k technickej pomoci Príručku pre žiadateľa nevypracúva. </w:t>
      </w:r>
    </w:p>
    <w:p w:rsidR="003F2A48" w:rsidRPr="002D08EE" w:rsidRDefault="003F2A48" w:rsidP="001912B9">
      <w:pPr>
        <w:pStyle w:val="Odsekzoznamu"/>
        <w:autoSpaceDE w:val="0"/>
        <w:autoSpaceDN w:val="0"/>
        <w:adjustRightInd w:val="0"/>
        <w:spacing w:before="120" w:after="120"/>
        <w:ind w:left="360"/>
        <w:rPr>
          <w:rFonts w:asciiTheme="minorHAnsi" w:eastAsiaTheme="minorHAnsi" w:hAnsiTheme="minorHAnsi"/>
          <w:color w:val="000000"/>
          <w:sz w:val="22"/>
          <w:szCs w:val="22"/>
          <w:u w:val="single"/>
          <w:lang w:eastAsia="en-US"/>
        </w:rPr>
      </w:pPr>
      <w:r w:rsidRPr="002D08EE">
        <w:rPr>
          <w:rFonts w:asciiTheme="minorHAnsi" w:eastAsiaTheme="minorHAnsi" w:hAnsiTheme="minorHAnsi"/>
          <w:b/>
          <w:bCs/>
          <w:color w:val="000000"/>
          <w:sz w:val="22"/>
          <w:szCs w:val="22"/>
          <w:u w:val="single"/>
          <w:lang w:eastAsia="en-US"/>
        </w:rPr>
        <w:t xml:space="preserve">Schvaľovanie žiadostí o NFP </w:t>
      </w:r>
    </w:p>
    <w:p w:rsidR="003F2A48" w:rsidRPr="002D08EE" w:rsidRDefault="003F2A48" w:rsidP="002D08EE">
      <w:pPr>
        <w:autoSpaceDE w:val="0"/>
        <w:autoSpaceDN w:val="0"/>
        <w:adjustRightInd w:val="0"/>
        <w:spacing w:after="120" w:line="276" w:lineRule="auto"/>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Schvaľovanie žiadosti o NFP v rámci OP TP sa uskutoční v týchto základných fázach: administratívne overenie, odborné hodnotenie a opravné prostriedky (neobligatórna časť schvaľovacieho procesu). </w:t>
      </w:r>
    </w:p>
    <w:p w:rsidR="003F2A48" w:rsidRPr="002D08EE" w:rsidRDefault="003F2A48" w:rsidP="002D08EE">
      <w:pPr>
        <w:autoSpaceDE w:val="0"/>
        <w:autoSpaceDN w:val="0"/>
        <w:adjustRightInd w:val="0"/>
        <w:spacing w:after="120" w:line="276" w:lineRule="auto"/>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Konanie o žiadosti o NFP sa začína doručením žiadosti o NFP žiadateľom. Žiadateľ doručuje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elektronicky prostredníctvom verejnej časti ITMS 2014+ a písomne na</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uvedenú adresu. </w:t>
      </w:r>
    </w:p>
    <w:p w:rsidR="003F2A48" w:rsidRPr="002D08EE" w:rsidRDefault="003F2A48" w:rsidP="002D08EE">
      <w:pPr>
        <w:autoSpaceDE w:val="0"/>
        <w:autoSpaceDN w:val="0"/>
        <w:adjustRightInd w:val="0"/>
        <w:spacing w:after="120" w:line="276" w:lineRule="auto"/>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 v rámci </w:t>
      </w:r>
      <w:r w:rsidRPr="002D08EE">
        <w:rPr>
          <w:rFonts w:asciiTheme="minorHAnsi" w:eastAsiaTheme="minorHAnsi" w:hAnsiTheme="minorHAnsi"/>
          <w:b/>
          <w:bCs/>
          <w:color w:val="000000"/>
          <w:sz w:val="22"/>
          <w:szCs w:val="22"/>
          <w:lang w:eastAsia="en-US"/>
        </w:rPr>
        <w:t xml:space="preserve">administratívneho overenia </w:t>
      </w:r>
      <w:r w:rsidRPr="002D08EE">
        <w:rPr>
          <w:rFonts w:asciiTheme="minorHAnsi" w:eastAsiaTheme="minorHAnsi" w:hAnsiTheme="minorHAnsi"/>
          <w:color w:val="000000"/>
          <w:sz w:val="22"/>
          <w:szCs w:val="22"/>
          <w:lang w:eastAsia="en-US"/>
        </w:rPr>
        <w:t xml:space="preserve">overí splnenie doručenia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riadne, včas a v stanovenej forme a následne ostatných podmienok poskytnutia príspevku určených vo</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vyzvaní </w:t>
      </w:r>
      <w:r w:rsidRPr="002D08EE">
        <w:rPr>
          <w:rFonts w:asciiTheme="minorHAnsi" w:eastAsiaTheme="minorHAnsi" w:hAnsiTheme="minorHAnsi"/>
          <w:b/>
          <w:bCs/>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každej jednotlivej podmienky poskytnutia príspevku (ktorá je overovaná v rámci administratívneho overenia) na základe údajov uvedených žiadateľom v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dostupných zdrojov na priame overenie podmienok poskytnutia príspevku a v relevantných prílohách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w:t>
      </w:r>
    </w:p>
    <w:p w:rsidR="003F2A48" w:rsidRPr="002D08EE" w:rsidRDefault="003F2A48" w:rsidP="002D08EE">
      <w:pPr>
        <w:autoSpaceDE w:val="0"/>
        <w:autoSpaceDN w:val="0"/>
        <w:adjustRightInd w:val="0"/>
        <w:spacing w:after="120" w:line="276" w:lineRule="auto"/>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prípade, ak na základe preskúmania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a jej príloh vzniknú pochybnosti o</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pravdivosti alebo úplnosti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alebo jej príloh, RO vyzve žiadateľa na doplnenie neúplných údajov (vzor výzvy v prílohe vyzvania), vysvetlenie nejasností alebo nápravu nepravdivých údajov zaslaním výzvy na doplnenie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v lehote </w:t>
      </w:r>
      <w:r w:rsidR="003041BF">
        <w:rPr>
          <w:rFonts w:asciiTheme="minorHAnsi" w:eastAsiaTheme="minorHAnsi" w:hAnsiTheme="minorHAnsi"/>
          <w:color w:val="000000"/>
          <w:sz w:val="22"/>
          <w:szCs w:val="22"/>
          <w:lang w:eastAsia="en-US"/>
        </w:rPr>
        <w:t xml:space="preserve">min. </w:t>
      </w:r>
      <w:r w:rsidRPr="002D08EE">
        <w:rPr>
          <w:rFonts w:asciiTheme="minorHAnsi" w:eastAsiaTheme="minorHAnsi" w:hAnsiTheme="minorHAnsi"/>
          <w:color w:val="000000"/>
          <w:sz w:val="22"/>
          <w:szCs w:val="22"/>
          <w:lang w:eastAsia="en-US"/>
        </w:rPr>
        <w:t xml:space="preserve">5 pracovných dní. </w:t>
      </w:r>
    </w:p>
    <w:p w:rsidR="003F2A48" w:rsidRPr="002D08EE" w:rsidRDefault="003F2A48" w:rsidP="002D08EE">
      <w:pPr>
        <w:autoSpaceDE w:val="0"/>
        <w:autoSpaceDN w:val="0"/>
        <w:adjustRightInd w:val="0"/>
        <w:spacing w:after="120" w:line="276" w:lineRule="auto"/>
        <w:ind w:firstLine="357"/>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 doplnení údajov zo strany žiadateľa RO opätovne skontroluje predložené dokumenty a informácie a: </w:t>
      </w:r>
    </w:p>
    <w:p w:rsidR="001912B9" w:rsidRPr="002D08EE" w:rsidRDefault="003F2A48" w:rsidP="002D08EE">
      <w:pPr>
        <w:pStyle w:val="Odsekzoznamu"/>
        <w:numPr>
          <w:ilvl w:val="0"/>
          <w:numId w:val="2"/>
        </w:numPr>
        <w:autoSpaceDE w:val="0"/>
        <w:autoSpaceDN w:val="0"/>
        <w:adjustRightInd w:val="0"/>
        <w:spacing w:after="120" w:line="276" w:lineRule="auto"/>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v prípade nesplnenia niektorej z podmienok poskytnutia príspevku ani po dožiadaní (v</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prípade nedoplnenia žiadnych náležitostí, v prípade doručenia požadovaných náležitostí po stanovenom termíne alebo v prípade, ak aj po doplnení chýbajúcich náležitostí naďalej pretrvávajú pochybnosti o pravdivosti alebo úplnosti žiadosti, na</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základe čoho nie je možné overiť splnenie niektorej z podmienok poskytnutia príspevku a rozhodnúť o schválení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 zastaví konanie o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w:t>
      </w:r>
    </w:p>
    <w:p w:rsidR="003F2A48" w:rsidRPr="002D08EE" w:rsidRDefault="003F2A48" w:rsidP="002D08EE">
      <w:pPr>
        <w:pStyle w:val="Odsekzoznamu"/>
        <w:numPr>
          <w:ilvl w:val="0"/>
          <w:numId w:val="2"/>
        </w:numPr>
        <w:autoSpaceDE w:val="0"/>
        <w:autoSpaceDN w:val="0"/>
        <w:adjustRightInd w:val="0"/>
        <w:spacing w:after="120" w:line="276" w:lineRule="auto"/>
        <w:ind w:left="714" w:hanging="357"/>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prípade splnenia všetkých podmienok poskytnutia príspevku, ktorých overenie je súčasťou administratívneho overenia, je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postúpená na odborné hodnotenie. </w:t>
      </w:r>
    </w:p>
    <w:p w:rsidR="006829FC" w:rsidRPr="002D08EE" w:rsidRDefault="003F2A48" w:rsidP="002D08EE">
      <w:pPr>
        <w:spacing w:after="120" w:line="276" w:lineRule="auto"/>
        <w:ind w:firstLine="357"/>
        <w:jc w:val="both"/>
        <w:rPr>
          <w:rFonts w:asciiTheme="minorHAnsi" w:hAnsiTheme="minorHAnsi"/>
          <w:sz w:val="22"/>
          <w:szCs w:val="22"/>
        </w:rPr>
      </w:pPr>
      <w:r w:rsidRPr="002D08EE">
        <w:rPr>
          <w:rFonts w:asciiTheme="minorHAnsi" w:eastAsiaTheme="minorHAnsi" w:hAnsiTheme="minorHAnsi"/>
          <w:color w:val="000000"/>
          <w:sz w:val="22"/>
          <w:szCs w:val="22"/>
          <w:lang w:eastAsia="en-US"/>
        </w:rPr>
        <w:t xml:space="preserve">Žiadosť o NFP posúdia v rámci </w:t>
      </w:r>
      <w:r w:rsidRPr="002D08EE">
        <w:rPr>
          <w:rFonts w:asciiTheme="minorHAnsi" w:eastAsiaTheme="minorHAnsi" w:hAnsiTheme="minorHAnsi"/>
          <w:b/>
          <w:bCs/>
          <w:color w:val="000000"/>
          <w:sz w:val="22"/>
          <w:szCs w:val="22"/>
          <w:lang w:eastAsia="en-US"/>
        </w:rPr>
        <w:t xml:space="preserve">odborného hodnotenia </w:t>
      </w:r>
      <w:r w:rsidRPr="002D08EE">
        <w:rPr>
          <w:rFonts w:asciiTheme="minorHAnsi" w:eastAsiaTheme="minorHAnsi" w:hAnsiTheme="minorHAnsi"/>
          <w:color w:val="000000"/>
          <w:sz w:val="22"/>
          <w:szCs w:val="22"/>
          <w:lang w:eastAsia="en-US"/>
        </w:rPr>
        <w:t>dvaja odborní hodnotitelia v</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totožnom rozsahu, pričom využijú hodnotiace kritériá, zverejnené na webovom sídle RO OP TP (</w:t>
      </w:r>
      <w:hyperlink r:id="rId20" w:history="1">
        <w:r w:rsidR="007775EB" w:rsidRPr="000B4FD4">
          <w:rPr>
            <w:rStyle w:val="Hypertextovprepojenie"/>
            <w:rFonts w:asciiTheme="minorHAnsi" w:eastAsiaTheme="minorHAnsi" w:hAnsiTheme="minorHAnsi"/>
            <w:sz w:val="22"/>
            <w:szCs w:val="22"/>
            <w:lang w:eastAsia="en-US"/>
          </w:rPr>
          <w:t>http://www.optp.vlada.gov.sk/ine-dokumenty/</w:t>
        </w:r>
      </w:hyperlink>
      <w:r w:rsidRPr="002D08EE">
        <w:rPr>
          <w:rFonts w:asciiTheme="minorHAnsi" w:eastAsiaTheme="minorHAnsi" w:hAnsiTheme="minorHAnsi"/>
          <w:color w:val="000000"/>
          <w:sz w:val="22"/>
          <w:szCs w:val="22"/>
          <w:lang w:eastAsia="en-US"/>
        </w:rPr>
        <w:t>). Hodnotitelia postupujú pri hodnotení žiadostí o NFP v súlade s</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Príručkou pre odborného hodnotiteľa pre operačný program Technická pomoc 2014 - 2020 </w:t>
      </w:r>
      <w:r w:rsidRPr="007775EB">
        <w:rPr>
          <w:rFonts w:asciiTheme="minorHAnsi" w:eastAsiaTheme="minorHAnsi" w:hAnsiTheme="minorHAnsi"/>
          <w:color w:val="000000"/>
          <w:sz w:val="22"/>
          <w:szCs w:val="22"/>
          <w:lang w:eastAsia="en-US"/>
        </w:rPr>
        <w:t>(</w:t>
      </w:r>
      <w:hyperlink r:id="rId21" w:history="1">
        <w:r w:rsidR="007775EB" w:rsidRPr="007775EB">
          <w:rPr>
            <w:rStyle w:val="Hypertextovprepojenie"/>
            <w:rFonts w:asciiTheme="minorHAnsi" w:hAnsiTheme="minorHAnsi"/>
            <w:sz w:val="22"/>
            <w:szCs w:val="22"/>
          </w:rPr>
          <w:t>http://www.optp.vlada.gov.sk/ine-dokumenty/</w:t>
        </w:r>
      </w:hyperlink>
      <w:r w:rsidRPr="002D08EE">
        <w:rPr>
          <w:rFonts w:asciiTheme="minorHAnsi" w:eastAsiaTheme="minorHAnsi" w:hAnsiTheme="minorHAnsi"/>
          <w:color w:val="000000"/>
          <w:sz w:val="22"/>
          <w:szCs w:val="22"/>
          <w:lang w:eastAsia="en-US"/>
        </w:rPr>
        <w:t>).</w:t>
      </w:r>
    </w:p>
    <w:p w:rsidR="003F2A48" w:rsidRPr="002D08EE" w:rsidRDefault="003F2A48" w:rsidP="002D08EE">
      <w:pPr>
        <w:autoSpaceDE w:val="0"/>
        <w:autoSpaceDN w:val="0"/>
        <w:adjustRightInd w:val="0"/>
        <w:spacing w:after="120" w:line="276" w:lineRule="auto"/>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 je oprávnený vyžiadať od žiadateľa, na základe požiadavky odborných hodnotiteľov, doplňujúce informácie v lehote 5 pracovných dní. Nepredloženie požadovaných dokumentov, doručenie požadovaných náležitostí po stanovenom termíne alebo doplnenie chýbajúcich náležitostí, po ktorom naďalej pretrvávajú pochybnosti o pravdivosti alebo úplnosti žiadosti, na základe čoho nie je možné overiť splnenie niektorej z podmienok poskytnutia príspevku a rozhodnúť o schválení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bude viesť k zastaveniu konania o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alebo k požiadavke na úpravu žiadosti o NFP. Ak sa na základe predložených dokumentov v tejto fáze preukáže, že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nespĺňa podmienky poskytnutia príspevku, RO rozhodne o neschválení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w:t>
      </w:r>
    </w:p>
    <w:p w:rsidR="003F2A48" w:rsidRPr="002D08EE" w:rsidRDefault="003F2A48" w:rsidP="002D08EE">
      <w:pPr>
        <w:autoSpaceDE w:val="0"/>
        <w:autoSpaceDN w:val="0"/>
        <w:adjustRightInd w:val="0"/>
        <w:spacing w:after="120" w:line="276" w:lineRule="auto"/>
        <w:ind w:firstLine="357"/>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Konečným výstupom odborného hodnotenia je spoločný hodnotiaci hárok. </w:t>
      </w:r>
    </w:p>
    <w:p w:rsidR="003F2A48" w:rsidRPr="002D08EE" w:rsidRDefault="003F2A48" w:rsidP="002D08EE">
      <w:pPr>
        <w:autoSpaceDE w:val="0"/>
        <w:autoSpaceDN w:val="0"/>
        <w:adjustRightInd w:val="0"/>
        <w:spacing w:after="120" w:line="276" w:lineRule="auto"/>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Ak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nesplnila podmienky odborného hodnotenia, RO rozhodne o neschválení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Ak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splnila podmienky odborného hodnotenia, RO rozhodne o schválení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(vzor v prílohe vyzvania). </w:t>
      </w:r>
    </w:p>
    <w:p w:rsidR="003F2A48" w:rsidRPr="002D08EE" w:rsidRDefault="003F2A48" w:rsidP="002D08EE">
      <w:pPr>
        <w:autoSpaceDE w:val="0"/>
        <w:autoSpaceDN w:val="0"/>
        <w:adjustRightInd w:val="0"/>
        <w:spacing w:after="120" w:line="276" w:lineRule="auto"/>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RO nie je oprávnený vyvodiť negatívne dôsledky len z dôvodov formálnych nedostatkov podania. Dôvod, pre ktorý RO vydáva rozhodnutie o zastavení konania alebo rozhodnutie o</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neschválení musí byť jasný, odôvodnený a musí vyplývať z nedodržania podmienok zadefinovaných vo vyzvaní. </w:t>
      </w:r>
    </w:p>
    <w:p w:rsidR="003F2A48" w:rsidRPr="002D08EE" w:rsidRDefault="003F2A48" w:rsidP="002D08EE">
      <w:pPr>
        <w:autoSpaceDE w:val="0"/>
        <w:autoSpaceDN w:val="0"/>
        <w:adjustRightInd w:val="0"/>
        <w:spacing w:after="120" w:line="276" w:lineRule="auto"/>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Podrobný postup schvaľovania žiadostí o NFP vychádza zo Systému riadenia európskych štrukturálnych a investičných fondov, časť 3.2. </w:t>
      </w:r>
    </w:p>
    <w:p w:rsidR="001912B9" w:rsidRPr="002D08EE" w:rsidRDefault="001912B9" w:rsidP="001912B9">
      <w:pPr>
        <w:autoSpaceDE w:val="0"/>
        <w:autoSpaceDN w:val="0"/>
        <w:adjustRightInd w:val="0"/>
        <w:spacing w:before="120" w:after="120"/>
        <w:ind w:firstLine="357"/>
        <w:rPr>
          <w:rFonts w:asciiTheme="minorHAnsi" w:eastAsiaTheme="minorHAnsi" w:hAnsiTheme="minorHAnsi"/>
          <w:b/>
          <w:bCs/>
          <w:color w:val="000000"/>
          <w:sz w:val="22"/>
          <w:szCs w:val="22"/>
          <w:u w:val="single"/>
          <w:lang w:eastAsia="en-US"/>
        </w:rPr>
      </w:pPr>
    </w:p>
    <w:p w:rsidR="003F2A48" w:rsidRPr="002D08EE" w:rsidRDefault="003F2A48" w:rsidP="001912B9">
      <w:pPr>
        <w:autoSpaceDE w:val="0"/>
        <w:autoSpaceDN w:val="0"/>
        <w:adjustRightInd w:val="0"/>
        <w:spacing w:before="120" w:after="120"/>
        <w:ind w:firstLine="357"/>
        <w:rPr>
          <w:rFonts w:asciiTheme="minorHAnsi" w:eastAsiaTheme="minorHAnsi" w:hAnsiTheme="minorHAnsi"/>
          <w:color w:val="000000"/>
          <w:sz w:val="22"/>
          <w:szCs w:val="22"/>
          <w:u w:val="single"/>
          <w:lang w:eastAsia="en-US"/>
        </w:rPr>
      </w:pPr>
      <w:r w:rsidRPr="002D08EE">
        <w:rPr>
          <w:rFonts w:asciiTheme="minorHAnsi" w:eastAsiaTheme="minorHAnsi" w:hAnsiTheme="minorHAnsi"/>
          <w:b/>
          <w:bCs/>
          <w:color w:val="000000"/>
          <w:sz w:val="22"/>
          <w:szCs w:val="22"/>
          <w:u w:val="single"/>
          <w:lang w:eastAsia="en-US"/>
        </w:rPr>
        <w:t xml:space="preserve">Opravné prostriedky </w:t>
      </w:r>
    </w:p>
    <w:p w:rsidR="003F2A48" w:rsidRPr="002D08EE" w:rsidRDefault="003F2A48" w:rsidP="001912B9">
      <w:pPr>
        <w:autoSpaceDE w:val="0"/>
        <w:autoSpaceDN w:val="0"/>
        <w:adjustRightInd w:val="0"/>
        <w:spacing w:before="120" w:after="120"/>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Opravné prostriedky umožňujú žiadateľovi v konaní o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domáhať sa nápravy, ak sa domnieva, že neboli dodržané ustanovenia zákona o príspevku z EŠIF a podmienky uvedené vo vyzvaní. </w:t>
      </w:r>
    </w:p>
    <w:p w:rsidR="003F2A48" w:rsidRPr="002D08EE" w:rsidRDefault="003F2A48" w:rsidP="001912B9">
      <w:pPr>
        <w:autoSpaceDE w:val="0"/>
        <w:autoSpaceDN w:val="0"/>
        <w:adjustRightInd w:val="0"/>
        <w:spacing w:before="120" w:after="120"/>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Riadnym opravným prostriedkom, podľa § 22 zákona o príspevku z EŠIF, je odvolanie. Mimoriadnym opravným prostriedkom, podľa § 24 zákona o príspevku z EŠIF, je preskúmanie rozhodnutia mimo odvolacieho konania. </w:t>
      </w:r>
    </w:p>
    <w:p w:rsidR="003F2A48" w:rsidRPr="002D08EE" w:rsidRDefault="003F2A48" w:rsidP="001912B9">
      <w:pPr>
        <w:autoSpaceDE w:val="0"/>
        <w:autoSpaceDN w:val="0"/>
        <w:adjustRightInd w:val="0"/>
        <w:spacing w:before="120" w:after="120"/>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Rozhodnutia vydávané RO sú preskúmateľné súdom. </w:t>
      </w:r>
    </w:p>
    <w:p w:rsidR="003F2A48" w:rsidRPr="002D08EE" w:rsidRDefault="003F2A48" w:rsidP="001912B9">
      <w:pPr>
        <w:autoSpaceDE w:val="0"/>
        <w:autoSpaceDN w:val="0"/>
        <w:adjustRightInd w:val="0"/>
        <w:spacing w:before="120" w:after="120"/>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Rozhodnutia vydané v rámci opravných prostriedkov nemožno napadnúť riadnym opravným prostriedkom a preto nadobúdajú právoplatnosť jeho doručením žiadateľovi. Výnimkou je postup podľa § 23 ods. 2 zákona o príspevku z EŠIF, t.j. ak RO rozhodne o</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odvolaní na svojej úrovni (tzv. </w:t>
      </w:r>
      <w:proofErr w:type="spellStart"/>
      <w:r w:rsidRPr="002D08EE">
        <w:rPr>
          <w:rFonts w:asciiTheme="minorHAnsi" w:eastAsiaTheme="minorHAnsi" w:hAnsiTheme="minorHAnsi"/>
          <w:color w:val="000000"/>
          <w:sz w:val="22"/>
          <w:szCs w:val="22"/>
          <w:lang w:eastAsia="en-US"/>
        </w:rPr>
        <w:t>autoremedúra</w:t>
      </w:r>
      <w:proofErr w:type="spellEnd"/>
      <w:r w:rsidRPr="002D08EE">
        <w:rPr>
          <w:rFonts w:asciiTheme="minorHAnsi" w:eastAsiaTheme="minorHAnsi" w:hAnsiTheme="minorHAnsi"/>
          <w:color w:val="000000"/>
          <w:sz w:val="22"/>
          <w:szCs w:val="22"/>
          <w:lang w:eastAsia="en-US"/>
        </w:rPr>
        <w:t>), lebo odvolaniu v plnom rozsahu vyhovel. V</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tomto prípade ide stále o prvostupňové rozhodnutie a voči rozhodnutiu je možné </w:t>
      </w:r>
      <w:r w:rsidRPr="002D08EE">
        <w:rPr>
          <w:rFonts w:asciiTheme="minorHAnsi" w:eastAsiaTheme="minorHAnsi" w:hAnsiTheme="minorHAnsi"/>
          <w:b/>
          <w:bCs/>
          <w:color w:val="000000"/>
          <w:sz w:val="22"/>
          <w:szCs w:val="22"/>
          <w:lang w:eastAsia="en-US"/>
        </w:rPr>
        <w:t>podať odvolanie</w:t>
      </w:r>
      <w:r w:rsidRPr="002D08EE">
        <w:rPr>
          <w:rFonts w:asciiTheme="minorHAnsi" w:eastAsiaTheme="minorHAnsi" w:hAnsiTheme="minorHAnsi"/>
          <w:color w:val="000000"/>
          <w:sz w:val="22"/>
          <w:szCs w:val="22"/>
          <w:lang w:eastAsia="en-US"/>
        </w:rPr>
        <w:t xml:space="preserve">. </w:t>
      </w:r>
    </w:p>
    <w:p w:rsidR="003F2A48" w:rsidRPr="002D08EE" w:rsidRDefault="003F2A48" w:rsidP="001912B9">
      <w:pPr>
        <w:autoSpaceDE w:val="0"/>
        <w:autoSpaceDN w:val="0"/>
        <w:adjustRightInd w:val="0"/>
        <w:spacing w:before="120" w:after="120"/>
        <w:ind w:firstLine="357"/>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Odvolanie podáva žiadateľ písomne na podateľňu ÚV SR v lehote </w:t>
      </w:r>
      <w:r w:rsidRPr="002D08EE">
        <w:rPr>
          <w:rFonts w:asciiTheme="minorHAnsi" w:eastAsiaTheme="minorHAnsi" w:hAnsiTheme="minorHAnsi"/>
          <w:b/>
          <w:bCs/>
          <w:color w:val="000000"/>
          <w:sz w:val="22"/>
          <w:szCs w:val="22"/>
          <w:lang w:eastAsia="en-US"/>
        </w:rPr>
        <w:t>10 pracovných dní odo dňa doručenia rozhodnutia</w:t>
      </w:r>
      <w:r w:rsidRPr="002D08EE">
        <w:rPr>
          <w:rFonts w:asciiTheme="minorHAnsi" w:eastAsiaTheme="minorHAnsi" w:hAnsiTheme="minorHAnsi"/>
          <w:color w:val="000000"/>
          <w:sz w:val="22"/>
          <w:szCs w:val="22"/>
          <w:lang w:eastAsia="en-US"/>
        </w:rPr>
        <w:t xml:space="preserve">. Podané odvolanie môže žiadateľ čo do rozsahu a dôvodov podania odvolania doplniť len do uplynutia lehoty na podanie odvolania. </w:t>
      </w:r>
    </w:p>
    <w:p w:rsidR="003F2A48" w:rsidRPr="002D08EE" w:rsidRDefault="003F2A48" w:rsidP="001912B9">
      <w:pPr>
        <w:pStyle w:val="Odsekzoznamu"/>
        <w:spacing w:before="120" w:after="120"/>
        <w:ind w:left="360"/>
        <w:jc w:val="both"/>
        <w:rPr>
          <w:rFonts w:asciiTheme="minorHAnsi" w:hAnsiTheme="minorHAnsi"/>
          <w:sz w:val="22"/>
          <w:szCs w:val="22"/>
        </w:rPr>
      </w:pPr>
      <w:r w:rsidRPr="002D08EE">
        <w:rPr>
          <w:rFonts w:asciiTheme="minorHAnsi" w:eastAsiaTheme="minorHAnsi" w:hAnsiTheme="minorHAnsi"/>
          <w:color w:val="000000"/>
          <w:sz w:val="22"/>
          <w:szCs w:val="22"/>
          <w:lang w:eastAsia="en-US"/>
        </w:rPr>
        <w:t>Odvolanie nie je prípustné voči:</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 rozhodnutiu o neschválení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vydaného len z dôvodu vyčerpania finančných prostriedkov určených vo</w:t>
      </w:r>
      <w:r w:rsidR="00B15795" w:rsidRPr="002D08EE">
        <w:rPr>
          <w:rFonts w:asciiTheme="minorHAnsi" w:eastAsiaTheme="minorHAnsi" w:hAnsiTheme="minorHAnsi"/>
          <w:color w:val="000000"/>
          <w:sz w:val="22"/>
          <w:szCs w:val="22"/>
          <w:lang w:eastAsia="en-US"/>
        </w:rPr>
        <w:t xml:space="preserve"> </w:t>
      </w:r>
      <w:r w:rsidR="00B15795" w:rsidRPr="00963010">
        <w:rPr>
          <w:rFonts w:asciiTheme="minorHAnsi" w:hAnsiTheme="minorHAnsi"/>
          <w:sz w:val="22"/>
          <w:szCs w:val="22"/>
        </w:rPr>
        <w:t>výzve alebo</w:t>
      </w:r>
      <w:r w:rsidRPr="002D08EE">
        <w:rPr>
          <w:rFonts w:asciiTheme="minorHAnsi" w:eastAsiaTheme="minorHAnsi" w:hAnsiTheme="minorHAnsi"/>
          <w:color w:val="000000"/>
          <w:sz w:val="22"/>
          <w:szCs w:val="22"/>
          <w:lang w:eastAsia="en-US"/>
        </w:rPr>
        <w:t xml:space="preserve"> vyzvaní,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b) rozhodnutiam o zastavení konania,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c) rozhodnutiu o zmene rozhodnutia o neschválení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d) rozhodnutiu o odvolaní, ktoré vydal štatutárny orgán RO (rozhodnutie vydané v</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odvolacom konaní, ak RO nevyhovel odvolaniu v plnom rozsahu a o odvolaní rozhodoval štatutárny orgán RO),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e) rozhodnutiu o preskúmaní rozhodnutia mimo odvolacieho konania. </w:t>
      </w:r>
    </w:p>
    <w:p w:rsidR="001912B9" w:rsidRPr="002D08EE" w:rsidRDefault="001912B9" w:rsidP="001912B9">
      <w:pPr>
        <w:autoSpaceDE w:val="0"/>
        <w:autoSpaceDN w:val="0"/>
        <w:adjustRightInd w:val="0"/>
        <w:spacing w:before="120" w:after="120"/>
        <w:ind w:firstLine="426"/>
        <w:rPr>
          <w:rFonts w:asciiTheme="minorHAnsi" w:eastAsiaTheme="minorHAnsi" w:hAnsiTheme="minorHAnsi"/>
          <w:color w:val="000000"/>
          <w:sz w:val="22"/>
          <w:szCs w:val="22"/>
          <w:lang w:eastAsia="en-US"/>
        </w:rPr>
      </w:pPr>
    </w:p>
    <w:p w:rsidR="003F2A48" w:rsidRPr="002D08EE" w:rsidRDefault="003F2A48" w:rsidP="001912B9">
      <w:pPr>
        <w:autoSpaceDE w:val="0"/>
        <w:autoSpaceDN w:val="0"/>
        <w:adjustRightInd w:val="0"/>
        <w:spacing w:before="120" w:after="120"/>
        <w:ind w:firstLine="426"/>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 po doručení odvolania preskúma či nie sú dôvody na jeho odmietnutie, ktoré sú dané, ak: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 odvolanie nie je podané oprávnenou osobou – oprávnený na podanie odvolania je výlučne žiadateľ,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b) sa žiadateľ práva na odvolanie vzdal – žiadateľ je oprávnený vzdať sa práva na</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odvolanie písomne u RO,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c) je odvolanie podané po lehote na podanie odvolania – zákonná lehota na podanie odvolania je 10 pracovných dní od doručenia rozhodnutia; ak žiadateľ v dôsledku nesprávneho poučenia alebo preto, že nebol poučený vôbec podal opravný prostriedok po lehote, predpokladá sa, že ho podal včas, ak tak urobil do 1 mesiaca odo dňa doručenia rozhodnutia,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d) je odvolanie podané po </w:t>
      </w:r>
      <w:proofErr w:type="spellStart"/>
      <w:r w:rsidRPr="002D08EE">
        <w:rPr>
          <w:rFonts w:asciiTheme="minorHAnsi" w:eastAsiaTheme="minorHAnsi" w:hAnsiTheme="minorHAnsi"/>
          <w:color w:val="000000"/>
          <w:sz w:val="22"/>
          <w:szCs w:val="22"/>
          <w:lang w:eastAsia="en-US"/>
        </w:rPr>
        <w:t>späťvzatí</w:t>
      </w:r>
      <w:proofErr w:type="spellEnd"/>
      <w:r w:rsidRPr="002D08EE">
        <w:rPr>
          <w:rFonts w:asciiTheme="minorHAnsi" w:eastAsiaTheme="minorHAnsi" w:hAnsiTheme="minorHAnsi"/>
          <w:color w:val="000000"/>
          <w:sz w:val="22"/>
          <w:szCs w:val="22"/>
          <w:lang w:eastAsia="en-US"/>
        </w:rPr>
        <w:t xml:space="preserve"> – žiadateľ je oprávnený do rozhodnutia o odvolaní vziať podané odvolanie písomne späť. Ak po </w:t>
      </w:r>
      <w:proofErr w:type="spellStart"/>
      <w:r w:rsidRPr="002D08EE">
        <w:rPr>
          <w:rFonts w:asciiTheme="minorHAnsi" w:eastAsiaTheme="minorHAnsi" w:hAnsiTheme="minorHAnsi"/>
          <w:color w:val="000000"/>
          <w:sz w:val="22"/>
          <w:szCs w:val="22"/>
          <w:lang w:eastAsia="en-US"/>
        </w:rPr>
        <w:t>späťvzatí</w:t>
      </w:r>
      <w:proofErr w:type="spellEnd"/>
      <w:r w:rsidRPr="002D08EE">
        <w:rPr>
          <w:rFonts w:asciiTheme="minorHAnsi" w:eastAsiaTheme="minorHAnsi" w:hAnsiTheme="minorHAnsi"/>
          <w:color w:val="000000"/>
          <w:sz w:val="22"/>
          <w:szCs w:val="22"/>
          <w:lang w:eastAsia="en-US"/>
        </w:rPr>
        <w:t xml:space="preserve"> podá v lehote na odvolanie nové odvolanie, RO takéto odvolanie odmietne,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e) odvolanie nie je podané písomne,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f) odvolanie neobsahuje náležitosti, ktorými sú: </w:t>
      </w:r>
    </w:p>
    <w:p w:rsidR="001912B9" w:rsidRPr="002D08EE" w:rsidRDefault="003F2A48" w:rsidP="001912B9">
      <w:pPr>
        <w:pStyle w:val="Odsekzoznamu"/>
        <w:numPr>
          <w:ilvl w:val="0"/>
          <w:numId w:val="7"/>
        </w:numPr>
        <w:autoSpaceDE w:val="0"/>
        <w:autoSpaceDN w:val="0"/>
        <w:adjustRightInd w:val="0"/>
        <w:spacing w:before="120" w:after="120"/>
        <w:ind w:left="993" w:hanging="284"/>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akej veci sa odvolanie týka a dôvody podania odvolania, </w:t>
      </w:r>
    </w:p>
    <w:p w:rsidR="001912B9" w:rsidRPr="002D08EE" w:rsidRDefault="003F2A48" w:rsidP="001912B9">
      <w:pPr>
        <w:pStyle w:val="Odsekzoznamu"/>
        <w:numPr>
          <w:ilvl w:val="0"/>
          <w:numId w:val="7"/>
        </w:numPr>
        <w:autoSpaceDE w:val="0"/>
        <w:autoSpaceDN w:val="0"/>
        <w:adjustRightInd w:val="0"/>
        <w:spacing w:before="120" w:after="120"/>
        <w:ind w:left="993" w:hanging="284"/>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čo odvolaním žiadateľ navrhuje, </w:t>
      </w:r>
    </w:p>
    <w:p w:rsidR="003F2A48" w:rsidRPr="002D08EE" w:rsidRDefault="003F2A48" w:rsidP="001912B9">
      <w:pPr>
        <w:pStyle w:val="Odsekzoznamu"/>
        <w:numPr>
          <w:ilvl w:val="0"/>
          <w:numId w:val="7"/>
        </w:numPr>
        <w:autoSpaceDE w:val="0"/>
        <w:autoSpaceDN w:val="0"/>
        <w:adjustRightInd w:val="0"/>
        <w:spacing w:before="120" w:after="120"/>
        <w:ind w:left="993" w:hanging="284"/>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dátum podania a podpis osoby podávajúcej odvolanie,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g) odvolanie smeruje len proti odôvodneniu rozhodnutia – RO odmietne odvolanie, ak smeruje výlučne proti odôvodneniu rozhodnutia bez toho, aby sa v ňom žiadateľ domáhal inej zmeny. Ak sa žiadateľ domáha zmeny rozhodnutia a odôvodňuje svoju žiadosť výlučne napadnutím dôvodov uvedených v odôvodnení rozhodnutia, RO nie je oprávnený odmietnuť odvolanie podľa tohto písmena, </w:t>
      </w:r>
    </w:p>
    <w:p w:rsidR="003F2A48" w:rsidRPr="002D08EE" w:rsidRDefault="003F2A48" w:rsidP="001912B9">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h) odvolanie je podané proti rozhodnutiu, proti ktorému nie je odvolanie prípustné. </w:t>
      </w:r>
    </w:p>
    <w:p w:rsidR="003F2A48" w:rsidRPr="002D08EE" w:rsidRDefault="003F2A48" w:rsidP="001912B9">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Ak je naplnený niektorý z dôvodov uvedených v predchádzajúcom odseku, RO písomne odmietne odvolanie a v liste identifikuje dôvody na odmietnutie odvolania (v tomto prípade rozhodnutie nevydáva). </w:t>
      </w:r>
    </w:p>
    <w:p w:rsidR="003F2A48" w:rsidRPr="002D08EE" w:rsidRDefault="003F2A48" w:rsidP="001912B9">
      <w:pPr>
        <w:spacing w:before="120" w:after="120"/>
        <w:ind w:firstLine="360"/>
        <w:jc w:val="both"/>
        <w:rPr>
          <w:rFonts w:asciiTheme="minorHAnsi" w:hAnsiTheme="minorHAnsi"/>
          <w:sz w:val="22"/>
          <w:szCs w:val="22"/>
        </w:rPr>
      </w:pPr>
      <w:r w:rsidRPr="002D08EE">
        <w:rPr>
          <w:rFonts w:asciiTheme="minorHAnsi" w:eastAsiaTheme="minorHAnsi" w:hAnsiTheme="minorHAnsi"/>
          <w:color w:val="000000"/>
          <w:sz w:val="22"/>
          <w:szCs w:val="22"/>
          <w:lang w:eastAsia="en-US"/>
        </w:rPr>
        <w:t>Ak neboli dané dôvody na odmietnutie odvolania podľa predchádzajúceho odseku, RO v</w:t>
      </w:r>
      <w:r w:rsidR="001912B9"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odvolacom konaní postupuje nasledovne:</w:t>
      </w:r>
    </w:p>
    <w:p w:rsidR="003F2A48" w:rsidRPr="002D08EE" w:rsidRDefault="003F2A48" w:rsidP="00503622">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 </w:t>
      </w:r>
      <w:r w:rsidRPr="002D08EE">
        <w:rPr>
          <w:rFonts w:asciiTheme="minorHAnsi" w:eastAsiaTheme="minorHAnsi" w:hAnsiTheme="minorHAnsi"/>
          <w:b/>
          <w:bCs/>
          <w:color w:val="000000"/>
          <w:sz w:val="22"/>
          <w:szCs w:val="22"/>
          <w:lang w:eastAsia="en-US"/>
        </w:rPr>
        <w:t xml:space="preserve">Odvolacie konanie zastaví </w:t>
      </w:r>
      <w:r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b/>
          <w:bCs/>
          <w:color w:val="000000"/>
          <w:sz w:val="22"/>
          <w:szCs w:val="22"/>
          <w:lang w:eastAsia="en-US"/>
        </w:rPr>
        <w:t xml:space="preserve">RO rozhodnutím zastaví </w:t>
      </w:r>
      <w:r w:rsidRPr="002D08EE">
        <w:rPr>
          <w:rFonts w:asciiTheme="minorHAnsi" w:eastAsiaTheme="minorHAnsi" w:hAnsiTheme="minorHAnsi"/>
          <w:color w:val="000000"/>
          <w:sz w:val="22"/>
          <w:szCs w:val="22"/>
          <w:lang w:eastAsia="en-US"/>
        </w:rPr>
        <w:t xml:space="preserve">odvolacie konanie v prípade </w:t>
      </w:r>
      <w:proofErr w:type="spellStart"/>
      <w:r w:rsidRPr="002D08EE">
        <w:rPr>
          <w:rFonts w:asciiTheme="minorHAnsi" w:eastAsiaTheme="minorHAnsi" w:hAnsiTheme="minorHAnsi"/>
          <w:color w:val="000000"/>
          <w:sz w:val="22"/>
          <w:szCs w:val="22"/>
          <w:lang w:eastAsia="en-US"/>
        </w:rPr>
        <w:t>späťvzatia</w:t>
      </w:r>
      <w:proofErr w:type="spellEnd"/>
      <w:r w:rsidRPr="002D08EE">
        <w:rPr>
          <w:rFonts w:asciiTheme="minorHAnsi" w:eastAsiaTheme="minorHAnsi" w:hAnsiTheme="minorHAnsi"/>
          <w:color w:val="000000"/>
          <w:sz w:val="22"/>
          <w:szCs w:val="22"/>
          <w:lang w:eastAsia="en-US"/>
        </w:rPr>
        <w:t xml:space="preserve"> odvolania zo strany žiadateľa. Žiadateľ je oprávnený podané odvolanie vziať späť a to až do ukončenia odvolacieho konania. Po </w:t>
      </w:r>
      <w:proofErr w:type="spellStart"/>
      <w:r w:rsidRPr="002D08EE">
        <w:rPr>
          <w:rFonts w:asciiTheme="minorHAnsi" w:eastAsiaTheme="minorHAnsi" w:hAnsiTheme="minorHAnsi"/>
          <w:color w:val="000000"/>
          <w:sz w:val="22"/>
          <w:szCs w:val="22"/>
          <w:lang w:eastAsia="en-US"/>
        </w:rPr>
        <w:t>späťvzatí</w:t>
      </w:r>
      <w:proofErr w:type="spellEnd"/>
      <w:r w:rsidRPr="002D08EE">
        <w:rPr>
          <w:rFonts w:asciiTheme="minorHAnsi" w:eastAsiaTheme="minorHAnsi" w:hAnsiTheme="minorHAnsi"/>
          <w:color w:val="000000"/>
          <w:sz w:val="22"/>
          <w:szCs w:val="22"/>
          <w:lang w:eastAsia="en-US"/>
        </w:rPr>
        <w:t xml:space="preserve"> odvolania nie je žiadateľ oprávnený podať znova odvolanie. Oznámenie o </w:t>
      </w:r>
      <w:proofErr w:type="spellStart"/>
      <w:r w:rsidRPr="002D08EE">
        <w:rPr>
          <w:rFonts w:asciiTheme="minorHAnsi" w:eastAsiaTheme="minorHAnsi" w:hAnsiTheme="minorHAnsi"/>
          <w:color w:val="000000"/>
          <w:sz w:val="22"/>
          <w:szCs w:val="22"/>
          <w:lang w:eastAsia="en-US"/>
        </w:rPr>
        <w:t>späťvzatí</w:t>
      </w:r>
      <w:proofErr w:type="spellEnd"/>
      <w:r w:rsidRPr="002D08EE">
        <w:rPr>
          <w:rFonts w:asciiTheme="minorHAnsi" w:eastAsiaTheme="minorHAnsi" w:hAnsiTheme="minorHAnsi"/>
          <w:color w:val="000000"/>
          <w:sz w:val="22"/>
          <w:szCs w:val="22"/>
          <w:lang w:eastAsia="en-US"/>
        </w:rPr>
        <w:t xml:space="preserve"> odvolania musí byť podané písomne RO. Za deň </w:t>
      </w:r>
      <w:proofErr w:type="spellStart"/>
      <w:r w:rsidRPr="002D08EE">
        <w:rPr>
          <w:rFonts w:asciiTheme="minorHAnsi" w:eastAsiaTheme="minorHAnsi" w:hAnsiTheme="minorHAnsi"/>
          <w:color w:val="000000"/>
          <w:sz w:val="22"/>
          <w:szCs w:val="22"/>
          <w:lang w:eastAsia="en-US"/>
        </w:rPr>
        <w:t>späťvzatia</w:t>
      </w:r>
      <w:proofErr w:type="spellEnd"/>
      <w:r w:rsidRPr="002D08EE">
        <w:rPr>
          <w:rFonts w:asciiTheme="minorHAnsi" w:eastAsiaTheme="minorHAnsi" w:hAnsiTheme="minorHAnsi"/>
          <w:color w:val="000000"/>
          <w:sz w:val="22"/>
          <w:szCs w:val="22"/>
          <w:lang w:eastAsia="en-US"/>
        </w:rPr>
        <w:t xml:space="preserve"> odvolania sa považuje deň keď bolo oznámenie o </w:t>
      </w:r>
      <w:proofErr w:type="spellStart"/>
      <w:r w:rsidRPr="002D08EE">
        <w:rPr>
          <w:rFonts w:asciiTheme="minorHAnsi" w:eastAsiaTheme="minorHAnsi" w:hAnsiTheme="minorHAnsi"/>
          <w:color w:val="000000"/>
          <w:sz w:val="22"/>
          <w:szCs w:val="22"/>
          <w:lang w:eastAsia="en-US"/>
        </w:rPr>
        <w:t>späťvzatí</w:t>
      </w:r>
      <w:proofErr w:type="spellEnd"/>
      <w:r w:rsidRPr="002D08EE">
        <w:rPr>
          <w:rFonts w:asciiTheme="minorHAnsi" w:eastAsiaTheme="minorHAnsi" w:hAnsiTheme="minorHAnsi"/>
          <w:color w:val="000000"/>
          <w:sz w:val="22"/>
          <w:szCs w:val="22"/>
          <w:lang w:eastAsia="en-US"/>
        </w:rPr>
        <w:t xml:space="preserve"> doručené RO. RO rozhodne o zastavení konania ku dňu doručenia </w:t>
      </w:r>
      <w:proofErr w:type="spellStart"/>
      <w:r w:rsidRPr="002D08EE">
        <w:rPr>
          <w:rFonts w:asciiTheme="minorHAnsi" w:eastAsiaTheme="minorHAnsi" w:hAnsiTheme="minorHAnsi"/>
          <w:color w:val="000000"/>
          <w:sz w:val="22"/>
          <w:szCs w:val="22"/>
          <w:lang w:eastAsia="en-US"/>
        </w:rPr>
        <w:t>späťvzatia</w:t>
      </w:r>
      <w:proofErr w:type="spellEnd"/>
      <w:r w:rsidRPr="002D08EE">
        <w:rPr>
          <w:rFonts w:asciiTheme="minorHAnsi" w:eastAsiaTheme="minorHAnsi" w:hAnsiTheme="minorHAnsi"/>
          <w:color w:val="000000"/>
          <w:sz w:val="22"/>
          <w:szCs w:val="22"/>
          <w:lang w:eastAsia="en-US"/>
        </w:rPr>
        <w:t xml:space="preserve"> odvolania. </w:t>
      </w:r>
    </w:p>
    <w:p w:rsidR="003F2A48" w:rsidRPr="002D08EE" w:rsidRDefault="003F2A48" w:rsidP="00503622">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b) </w:t>
      </w:r>
      <w:r w:rsidRPr="002D08EE">
        <w:rPr>
          <w:rFonts w:asciiTheme="minorHAnsi" w:eastAsiaTheme="minorHAnsi" w:hAnsiTheme="minorHAnsi"/>
          <w:b/>
          <w:bCs/>
          <w:color w:val="000000"/>
          <w:sz w:val="22"/>
          <w:szCs w:val="22"/>
          <w:lang w:eastAsia="en-US"/>
        </w:rPr>
        <w:t xml:space="preserve">Rozhodne o odvolaní na svojej úrovni </w:t>
      </w:r>
      <w:r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b/>
          <w:bCs/>
          <w:color w:val="000000"/>
          <w:sz w:val="22"/>
          <w:szCs w:val="22"/>
          <w:lang w:eastAsia="en-US"/>
        </w:rPr>
        <w:t xml:space="preserve">RO rozhodne </w:t>
      </w:r>
      <w:r w:rsidRPr="002D08EE">
        <w:rPr>
          <w:rFonts w:asciiTheme="minorHAnsi" w:eastAsiaTheme="minorHAnsi" w:hAnsiTheme="minorHAnsi"/>
          <w:color w:val="000000"/>
          <w:sz w:val="22"/>
          <w:szCs w:val="22"/>
          <w:lang w:eastAsia="en-US"/>
        </w:rPr>
        <w:t>o odvolaní rovnakým spôsobom, akým bolo vydané rozhodnutie napadnuté odvolaním v prípade, ak odvolaniu v plnom rozsahu vyhovie. Proces zhodnotenia dôkazov predložených v</w:t>
      </w:r>
      <w:r w:rsidR="00503622"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odvolaní </w:t>
      </w:r>
      <w:r w:rsidRPr="002D08EE">
        <w:rPr>
          <w:rFonts w:asciiTheme="minorHAnsi" w:eastAsiaTheme="minorHAnsi" w:hAnsiTheme="minorHAnsi"/>
          <w:b/>
          <w:bCs/>
          <w:color w:val="000000"/>
          <w:sz w:val="22"/>
          <w:szCs w:val="22"/>
          <w:lang w:eastAsia="en-US"/>
        </w:rPr>
        <w:t xml:space="preserve">musí byť jasne zadefinovaný </w:t>
      </w:r>
      <w:r w:rsidRPr="002D08EE">
        <w:rPr>
          <w:rFonts w:asciiTheme="minorHAnsi" w:eastAsiaTheme="minorHAnsi" w:hAnsiTheme="minorHAnsi"/>
          <w:color w:val="000000"/>
          <w:sz w:val="22"/>
          <w:szCs w:val="22"/>
          <w:lang w:eastAsia="en-US"/>
        </w:rPr>
        <w:t>tak, aby nevznikla pochybnosť o správnosti posúdenia predmetného odvolania a oprávnenosti RO rozhodnúť o odvolaní na</w:t>
      </w:r>
      <w:r w:rsidR="00503622"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rovnakej úrovni, na akej bolo vydané napadnuté rozhodnutie. RO je oprávnený zmeniť rozhodnutie podľa tohto písmena iba v prípade, ak odvolaniu vyhovie v plnom rozsahu. V prípade, ak RO vyhovie odvolaniu, ktorým má dôjsť k zmene rozhodnutia o neschválení, za plné vyhovenie odvolania sa považuje prípad, kedy nedochádza ku</w:t>
      </w:r>
      <w:r w:rsidR="00503622"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kráteniu žiadanej výšky NFP a rozhodnutie o schválení v plnom rozsahu zodpovedá požiadavke žiadateľa identifikovanej v odvolaní. Ak by pri zmene rozhodnutia z</w:t>
      </w:r>
      <w:r w:rsidR="00503622"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neschválenia na schválenie podľa predchádzajúcej vety malo na základe výsledkov preskúmania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dôjsť ku kráteniu výšky schválených výdavkov a takáto výška nekorešponduje presne s výškou, ktorej sa žiadateľ domáhal v odvolaní, tak o odvolaní rozhodne štatutárny orgán RO. Na toto rozhodnutie sa primerane aplikujú ustanovenia o náležitostiach rozhodnutia o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Týmto novým rozhodnutím RO pôvodné rozhodnutie zmení tak, aby v plnom rozsahu vyhovel odvolaniu. </w:t>
      </w:r>
    </w:p>
    <w:p w:rsidR="003F2A48" w:rsidRPr="002D08EE" w:rsidRDefault="003F2A48" w:rsidP="00503622">
      <w:pPr>
        <w:autoSpaceDE w:val="0"/>
        <w:autoSpaceDN w:val="0"/>
        <w:adjustRightInd w:val="0"/>
        <w:spacing w:before="120" w:after="120"/>
        <w:ind w:left="709" w:hanging="1"/>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 je povinný rozhodnúť o odvolaní na svojej úrovni najneskôr do </w:t>
      </w:r>
      <w:r w:rsidRPr="002D08EE">
        <w:rPr>
          <w:rFonts w:asciiTheme="minorHAnsi" w:eastAsiaTheme="minorHAnsi" w:hAnsiTheme="minorHAnsi"/>
          <w:b/>
          <w:bCs/>
          <w:color w:val="000000"/>
          <w:sz w:val="22"/>
          <w:szCs w:val="22"/>
          <w:lang w:eastAsia="en-US"/>
        </w:rPr>
        <w:t xml:space="preserve">60 dní </w:t>
      </w:r>
      <w:r w:rsidRPr="002D08EE">
        <w:rPr>
          <w:rFonts w:asciiTheme="minorHAnsi" w:eastAsiaTheme="minorHAnsi" w:hAnsiTheme="minorHAnsi"/>
          <w:color w:val="000000"/>
          <w:sz w:val="22"/>
          <w:szCs w:val="22"/>
          <w:lang w:eastAsia="en-US"/>
        </w:rPr>
        <w:t>od</w:t>
      </w:r>
      <w:r w:rsidR="00503622"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doručenia odvolania alebo v rovnakej lehote predložiť odvolanie na rozhodnutie štatutárovi RO. </w:t>
      </w:r>
    </w:p>
    <w:p w:rsidR="003F2A48" w:rsidRPr="002D08EE" w:rsidRDefault="003F2A48" w:rsidP="00503622">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c) </w:t>
      </w:r>
      <w:r w:rsidRPr="002D08EE">
        <w:rPr>
          <w:rFonts w:asciiTheme="minorHAnsi" w:eastAsiaTheme="minorHAnsi" w:hAnsiTheme="minorHAnsi"/>
          <w:b/>
          <w:bCs/>
          <w:color w:val="000000"/>
          <w:sz w:val="22"/>
          <w:szCs w:val="22"/>
          <w:lang w:eastAsia="en-US"/>
        </w:rPr>
        <w:t xml:space="preserve">O odvolaní rozhodne štatutárny orgán RO </w:t>
      </w:r>
      <w:r w:rsidRPr="002D08EE">
        <w:rPr>
          <w:rFonts w:asciiTheme="minorHAnsi" w:eastAsiaTheme="minorHAnsi" w:hAnsiTheme="minorHAnsi"/>
          <w:color w:val="000000"/>
          <w:sz w:val="22"/>
          <w:szCs w:val="22"/>
          <w:lang w:eastAsia="en-US"/>
        </w:rPr>
        <w:t>– v prípade, ak RO nerozhodol o</w:t>
      </w:r>
      <w:r w:rsidR="00503622"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odvolaní spôsobom podľa písm. b), bezodkladne po zistení dôvodov, na základe ktorých nie je možné rozhodnúť podľa písmena b) postúpi </w:t>
      </w:r>
      <w:r w:rsidRPr="002D08EE">
        <w:rPr>
          <w:rFonts w:asciiTheme="minorHAnsi" w:eastAsiaTheme="minorHAnsi" w:hAnsiTheme="minorHAnsi"/>
          <w:b/>
          <w:bCs/>
          <w:color w:val="000000"/>
          <w:sz w:val="22"/>
          <w:szCs w:val="22"/>
          <w:lang w:eastAsia="en-US"/>
        </w:rPr>
        <w:t xml:space="preserve">RO </w:t>
      </w:r>
      <w:r w:rsidRPr="002D08EE">
        <w:rPr>
          <w:rFonts w:asciiTheme="minorHAnsi" w:eastAsiaTheme="minorHAnsi" w:hAnsiTheme="minorHAnsi"/>
          <w:color w:val="000000"/>
          <w:sz w:val="22"/>
          <w:szCs w:val="22"/>
          <w:lang w:eastAsia="en-US"/>
        </w:rPr>
        <w:t>odvolanie na</w:t>
      </w:r>
      <w:r w:rsidR="00503622"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rozhodnutie </w:t>
      </w:r>
      <w:r w:rsidRPr="002D08EE">
        <w:rPr>
          <w:rFonts w:asciiTheme="minorHAnsi" w:eastAsiaTheme="minorHAnsi" w:hAnsiTheme="minorHAnsi"/>
          <w:b/>
          <w:bCs/>
          <w:color w:val="000000"/>
          <w:sz w:val="22"/>
          <w:szCs w:val="22"/>
          <w:lang w:eastAsia="en-US"/>
        </w:rPr>
        <w:t>štatutárnemu orgánu (ŠO)</w:t>
      </w:r>
      <w:r w:rsidRPr="002D08EE">
        <w:rPr>
          <w:rFonts w:asciiTheme="minorHAnsi" w:eastAsiaTheme="minorHAnsi" w:hAnsiTheme="minorHAnsi"/>
          <w:color w:val="000000"/>
          <w:sz w:val="22"/>
          <w:szCs w:val="22"/>
          <w:lang w:eastAsia="en-US"/>
        </w:rPr>
        <w:t xml:space="preserve">. Na základe preskúmaného odvolania </w:t>
      </w:r>
      <w:r w:rsidRPr="002D08EE">
        <w:rPr>
          <w:rFonts w:asciiTheme="minorHAnsi" w:eastAsiaTheme="minorHAnsi" w:hAnsiTheme="minorHAnsi"/>
          <w:b/>
          <w:bCs/>
          <w:color w:val="000000"/>
          <w:sz w:val="22"/>
          <w:szCs w:val="22"/>
          <w:lang w:eastAsia="en-US"/>
        </w:rPr>
        <w:t>ŠO</w:t>
      </w:r>
      <w:r w:rsidRPr="002D08EE">
        <w:rPr>
          <w:rFonts w:asciiTheme="minorHAnsi" w:eastAsiaTheme="minorHAnsi" w:hAnsiTheme="minorHAnsi"/>
          <w:color w:val="000000"/>
          <w:sz w:val="22"/>
          <w:szCs w:val="22"/>
          <w:lang w:eastAsia="en-US"/>
        </w:rPr>
        <w:t xml:space="preserve">: </w:t>
      </w:r>
    </w:p>
    <w:p w:rsidR="003F2A48" w:rsidRPr="002D08EE" w:rsidRDefault="003F2A48" w:rsidP="00503622">
      <w:pPr>
        <w:pStyle w:val="Odsekzoznamu"/>
        <w:numPr>
          <w:ilvl w:val="0"/>
          <w:numId w:val="15"/>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b/>
          <w:bCs/>
          <w:color w:val="000000"/>
          <w:sz w:val="22"/>
          <w:szCs w:val="22"/>
          <w:lang w:eastAsia="en-US"/>
        </w:rPr>
        <w:t xml:space="preserve">Napadnuté rozhodnutie zmení </w:t>
      </w:r>
      <w:r w:rsidRPr="002D08EE">
        <w:rPr>
          <w:rFonts w:asciiTheme="minorHAnsi" w:eastAsiaTheme="minorHAnsi" w:hAnsiTheme="minorHAnsi"/>
          <w:color w:val="000000"/>
          <w:sz w:val="22"/>
          <w:szCs w:val="22"/>
          <w:lang w:eastAsia="en-US"/>
        </w:rPr>
        <w:t>– rozhodnutím ŠO v prípade, ak sa na základe preskúmania odvolania preukázalo, že pôvodné rozhodnutie bolo vydané v</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rozpore s podmienkami poskytnutia príspevku, </w:t>
      </w:r>
    </w:p>
    <w:p w:rsidR="003F2A48" w:rsidRPr="002D08EE" w:rsidRDefault="003F2A48" w:rsidP="00992E46">
      <w:pPr>
        <w:pStyle w:val="Odsekzoznamu"/>
        <w:numPr>
          <w:ilvl w:val="0"/>
          <w:numId w:val="15"/>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b/>
          <w:bCs/>
          <w:color w:val="000000"/>
          <w:sz w:val="22"/>
          <w:szCs w:val="22"/>
          <w:lang w:eastAsia="en-US"/>
        </w:rPr>
        <w:t xml:space="preserve">Napadnuté rozhodnutie potvrdí </w:t>
      </w:r>
      <w:r w:rsidRPr="002D08EE">
        <w:rPr>
          <w:rFonts w:asciiTheme="minorHAnsi" w:eastAsiaTheme="minorHAnsi" w:hAnsiTheme="minorHAnsi"/>
          <w:color w:val="000000"/>
          <w:sz w:val="22"/>
          <w:szCs w:val="22"/>
          <w:lang w:eastAsia="en-US"/>
        </w:rPr>
        <w:t xml:space="preserve">- ak sa v odvolacom konaní preukáže, že napadnuté rozhodnutie bolo vydané v súlade s podmienkami poskytnutia príspevku, ŠO rozhodnutie potvrdí formou rozhodnutia.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Rozhodnutie o odvolaní musí byť vydané </w:t>
      </w:r>
      <w:r w:rsidRPr="002D08EE">
        <w:rPr>
          <w:rFonts w:asciiTheme="minorHAnsi" w:eastAsiaTheme="minorHAnsi" w:hAnsiTheme="minorHAnsi"/>
          <w:b/>
          <w:bCs/>
          <w:color w:val="000000"/>
          <w:sz w:val="22"/>
          <w:szCs w:val="22"/>
          <w:lang w:eastAsia="en-US"/>
        </w:rPr>
        <w:t xml:space="preserve">do 30 pracovných </w:t>
      </w:r>
      <w:r w:rsidRPr="002D08EE">
        <w:rPr>
          <w:rFonts w:asciiTheme="minorHAnsi" w:eastAsiaTheme="minorHAnsi" w:hAnsiTheme="minorHAnsi"/>
          <w:color w:val="000000"/>
          <w:sz w:val="22"/>
          <w:szCs w:val="22"/>
          <w:lang w:eastAsia="en-US"/>
        </w:rPr>
        <w:t xml:space="preserve">dní od predloženia odvolania štatutárnemu orgánu, vo zvlášť zložitých prípadoch najneskôr </w:t>
      </w:r>
      <w:r w:rsidRPr="002D08EE">
        <w:rPr>
          <w:rFonts w:asciiTheme="minorHAnsi" w:eastAsiaTheme="minorHAnsi" w:hAnsiTheme="minorHAnsi"/>
          <w:b/>
          <w:bCs/>
          <w:color w:val="000000"/>
          <w:sz w:val="22"/>
          <w:szCs w:val="22"/>
          <w:lang w:eastAsia="en-US"/>
        </w:rPr>
        <w:t>do 60 pracovných dní</w:t>
      </w:r>
      <w:r w:rsidRPr="002D08EE">
        <w:rPr>
          <w:rFonts w:asciiTheme="minorHAnsi" w:eastAsiaTheme="minorHAnsi" w:hAnsiTheme="minorHAnsi"/>
          <w:color w:val="000000"/>
          <w:sz w:val="22"/>
          <w:szCs w:val="22"/>
          <w:lang w:eastAsia="en-US"/>
        </w:rPr>
        <w:t xml:space="preserve">, pričom v takomto prípade </w:t>
      </w:r>
      <w:r w:rsidR="00104145">
        <w:rPr>
          <w:rFonts w:asciiTheme="minorHAnsi" w:hAnsiTheme="minorHAnsi"/>
          <w:sz w:val="22"/>
          <w:szCs w:val="22"/>
        </w:rPr>
        <w:t>RO OP TP</w:t>
      </w:r>
      <w:r w:rsidR="00B15795" w:rsidRPr="002D08EE">
        <w:rPr>
          <w:rFonts w:asciiTheme="minorHAnsi" w:hAnsiTheme="minorHAnsi"/>
          <w:sz w:val="22"/>
          <w:szCs w:val="22"/>
        </w:rPr>
        <w:t xml:space="preserve"> </w:t>
      </w:r>
      <w:r w:rsidRPr="002D08EE">
        <w:rPr>
          <w:rFonts w:asciiTheme="minorHAnsi" w:eastAsiaTheme="minorHAnsi" w:hAnsiTheme="minorHAnsi"/>
          <w:color w:val="000000"/>
          <w:sz w:val="22"/>
          <w:szCs w:val="22"/>
          <w:lang w:eastAsia="en-US"/>
        </w:rPr>
        <w:t xml:space="preserve">písomne </w:t>
      </w:r>
      <w:r w:rsidR="00B15795" w:rsidRPr="002D08EE">
        <w:rPr>
          <w:rFonts w:asciiTheme="minorHAnsi" w:hAnsiTheme="minorHAnsi"/>
          <w:sz w:val="22"/>
          <w:szCs w:val="22"/>
        </w:rPr>
        <w:t>informuje</w:t>
      </w:r>
      <w:r w:rsidRPr="002D08EE">
        <w:rPr>
          <w:rFonts w:asciiTheme="minorHAnsi" w:eastAsiaTheme="minorHAnsi" w:hAnsiTheme="minorHAnsi"/>
          <w:color w:val="000000"/>
          <w:sz w:val="22"/>
          <w:szCs w:val="22"/>
          <w:lang w:eastAsia="en-US"/>
        </w:rPr>
        <w:t xml:space="preserve"> o predĺžení a dôvodoch predĺženia</w:t>
      </w:r>
      <w:r w:rsidR="00B15795" w:rsidRPr="002D08EE">
        <w:rPr>
          <w:rFonts w:asciiTheme="minorHAnsi" w:eastAsiaTheme="minorHAnsi" w:hAnsiTheme="minorHAnsi"/>
          <w:color w:val="000000"/>
          <w:sz w:val="22"/>
          <w:szCs w:val="22"/>
          <w:lang w:eastAsia="en-US"/>
        </w:rPr>
        <w:t xml:space="preserve"> </w:t>
      </w:r>
      <w:r w:rsidR="00B15795" w:rsidRPr="002D08EE">
        <w:rPr>
          <w:rFonts w:asciiTheme="minorHAnsi" w:hAnsiTheme="minorHAnsi"/>
          <w:sz w:val="22"/>
          <w:szCs w:val="22"/>
        </w:rPr>
        <w:t>žiadateľa</w:t>
      </w:r>
      <w:r w:rsidRPr="002D08EE">
        <w:rPr>
          <w:rFonts w:asciiTheme="minorHAnsi" w:eastAsiaTheme="minorHAnsi" w:hAnsiTheme="minorHAnsi"/>
          <w:color w:val="000000"/>
          <w:sz w:val="22"/>
          <w:szCs w:val="22"/>
          <w:lang w:eastAsia="en-US"/>
        </w:rPr>
        <w:t xml:space="preserve">. </w:t>
      </w:r>
    </w:p>
    <w:p w:rsidR="003F2A48" w:rsidRPr="002D08EE" w:rsidRDefault="003F2A48" w:rsidP="00992E46">
      <w:pPr>
        <w:pStyle w:val="Odsekzoznamu"/>
        <w:spacing w:before="120" w:after="120"/>
        <w:ind w:left="360"/>
        <w:rPr>
          <w:rFonts w:asciiTheme="minorHAnsi" w:hAnsiTheme="minorHAnsi"/>
          <w:sz w:val="22"/>
          <w:szCs w:val="22"/>
        </w:rPr>
      </w:pPr>
      <w:r w:rsidRPr="002D08EE">
        <w:rPr>
          <w:rFonts w:asciiTheme="minorHAnsi" w:eastAsiaTheme="minorHAnsi" w:hAnsiTheme="minorHAnsi"/>
          <w:b/>
          <w:bCs/>
          <w:color w:val="000000"/>
          <w:sz w:val="22"/>
          <w:szCs w:val="22"/>
          <w:lang w:eastAsia="en-US"/>
        </w:rPr>
        <w:t>Preskúmanie rozhodnutia mimo odvolacieho konania</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Mimoriadnym opravným prostriedkom, v ktorého rámci možno vykonať nápravu chybného rozhodnutia je Preskúmanie rozhodnutia mimo odvolacieho konania.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Preskúmať mimo odvolacieho konania možno všetky právoplatné rozhodnutia vydané podľa zákona o príspevku z EŠIF, vrátane rozhodnutí o zastavení konania.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Rozhodnutie o schválení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môže byť preskúmané do zaslania návrhu na uzavretie zmluvy. Konanie o preskúmaní rozhodnutia o neschválení mimo odvolacieho konania alebo rozhodnutia o zastavení konania môže byť začaté najneskôr do dvoch rokov od nadobudnutia právoplatnosti rozhodnutia.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Predchádzajúce podanie odvolania v prípadoch, kedy je možné odvolanie proti rozhodnutiu podať nie je podmienkou, aby toto rozhodnutie mohlo byť preskúmané mimo odvolacieho konania.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Žiadateľ je oprávnený dať podnet na preskúmanie rozhodnutia mimo odvolacieho konania s výnimkou podnetu voči rozhodnutiu vydanom v odvolacom konaní.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Štatutárny orgán RO je oprávnený preskúmať právoplatné rozhodnutie aj z vlastného podnetu.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prípade, ak žiadateľ podal podnet na preskúmanie rozhodnutia mimo odvolacieho konania, štatutárny orgán preskúma jeho opodstatnenosť. Ak je podnet neopodstatnený, listom informuje žiadateľa o dôvodoch neopodstatnenosti podnetu.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Ak je podnet žiadateľa opodstatnený, alebo ide o preskúmanie rozhodnutia z vlastného podnetu štatutárneho orgánu RO, štatutárny orgán RO informuje písomne žiadateľa o začatí preskúmania rozhodnutia mimo odvolacieho konania. Podľa § 24 ods. 4 zákona o príspevku z</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EŠIF, konanie o preskúmaní rozhodnutia mimo odvolacieho konania začína doručením oznámenia štatutárneho orgánu RO o preskúmaní rozhodnutia z vlastného podnetu žiadateľovi alebo doručením oznámenia štatutárneho orgánu RO o uznaní opodstatnenosti podnetu žiadateľa na preskúmanie rozhodnutia mimo odvolacieho konania žiadateľovi. </w:t>
      </w:r>
    </w:p>
    <w:p w:rsidR="003F2A48" w:rsidRPr="002D08EE" w:rsidRDefault="003F2A48" w:rsidP="00992E46">
      <w:pPr>
        <w:autoSpaceDE w:val="0"/>
        <w:autoSpaceDN w:val="0"/>
        <w:adjustRightInd w:val="0"/>
        <w:spacing w:before="120" w:after="120"/>
        <w:ind w:firstLine="36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rámci preskúmania rozhodnutia mimo odvolacieho konania ŠO: </w:t>
      </w:r>
    </w:p>
    <w:p w:rsidR="003F2A48" w:rsidRPr="002D08EE" w:rsidRDefault="003F2A48" w:rsidP="00992E46">
      <w:pPr>
        <w:pStyle w:val="Odsekzoznamu"/>
        <w:autoSpaceDE w:val="0"/>
        <w:autoSpaceDN w:val="0"/>
        <w:adjustRightInd w:val="0"/>
        <w:spacing w:before="120" w:after="120"/>
        <w:ind w:left="709" w:hanging="284"/>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 </w:t>
      </w:r>
      <w:r w:rsidRPr="002D08EE">
        <w:rPr>
          <w:rFonts w:asciiTheme="minorHAnsi" w:eastAsiaTheme="minorHAnsi" w:hAnsiTheme="minorHAnsi"/>
          <w:b/>
          <w:bCs/>
          <w:color w:val="000000"/>
          <w:sz w:val="22"/>
          <w:szCs w:val="22"/>
          <w:lang w:eastAsia="en-US"/>
        </w:rPr>
        <w:t xml:space="preserve">Preskúmavané rozhodnutie zmení </w:t>
      </w:r>
      <w:r w:rsidRPr="002D08EE">
        <w:rPr>
          <w:rFonts w:asciiTheme="minorHAnsi" w:eastAsiaTheme="minorHAnsi" w:hAnsiTheme="minorHAnsi"/>
          <w:color w:val="000000"/>
          <w:sz w:val="22"/>
          <w:szCs w:val="22"/>
          <w:lang w:eastAsia="en-US"/>
        </w:rPr>
        <w:t>– ak ŠO preskúmaním rozhodnutia mimo odvolacieho konania zistí, že rozhodnutie bolo vydané v rozpore so zákonom o</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príspevku z EŠIF, rozhodnutie zmení. Preskúmavané rozhodnutie zmení vydaním nového rozhodnutia, na ktorého náležitosti sa primerane aplikujú ustanovenia o</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náležitostiach rozhodnutia o schválení/neschválení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w:t>
      </w:r>
    </w:p>
    <w:p w:rsidR="003F2A48" w:rsidRPr="002D08EE" w:rsidRDefault="003F2A48" w:rsidP="00992E46">
      <w:pPr>
        <w:pStyle w:val="Odsekzoznamu"/>
        <w:autoSpaceDE w:val="0"/>
        <w:autoSpaceDN w:val="0"/>
        <w:adjustRightInd w:val="0"/>
        <w:spacing w:before="120" w:after="120"/>
        <w:ind w:left="709" w:hanging="284"/>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b) </w:t>
      </w:r>
      <w:r w:rsidRPr="002D08EE">
        <w:rPr>
          <w:rFonts w:asciiTheme="minorHAnsi" w:eastAsiaTheme="minorHAnsi" w:hAnsiTheme="minorHAnsi"/>
          <w:b/>
          <w:bCs/>
          <w:color w:val="000000"/>
          <w:sz w:val="22"/>
          <w:szCs w:val="22"/>
          <w:lang w:eastAsia="en-US"/>
        </w:rPr>
        <w:t xml:space="preserve">Preskúmavané konanie zastaví </w:t>
      </w:r>
      <w:r w:rsidRPr="002D08EE">
        <w:rPr>
          <w:rFonts w:asciiTheme="minorHAnsi" w:eastAsiaTheme="minorHAnsi" w:hAnsiTheme="minorHAnsi"/>
          <w:color w:val="000000"/>
          <w:sz w:val="22"/>
          <w:szCs w:val="22"/>
          <w:lang w:eastAsia="en-US"/>
        </w:rPr>
        <w:t>- ak ŠO preskúmaním rozhodnutia mimo odvolacieho konania zistí, že rozhodnutie nebolo vydané v rozpore so zákonom o príspevku z</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EŠIF, VÚV preskúmavané konanie zastaví rozhodnutím. </w:t>
      </w:r>
    </w:p>
    <w:p w:rsidR="003F2A48" w:rsidRPr="002D08EE" w:rsidRDefault="003F2A48" w:rsidP="00992E46">
      <w:pPr>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Po ukončení preskúmania rozhodnutia mimo odvolacieho konania ŠO písomne informuje žiadateľa o jeho výsledku. ŠO je povinný rozhodnúť mimo odvolacieho konania </w:t>
      </w:r>
      <w:r w:rsidRPr="002D08EE">
        <w:rPr>
          <w:rFonts w:asciiTheme="minorHAnsi" w:eastAsiaTheme="minorHAnsi" w:hAnsiTheme="minorHAnsi"/>
          <w:b/>
          <w:bCs/>
          <w:color w:val="000000"/>
          <w:sz w:val="22"/>
          <w:szCs w:val="22"/>
          <w:lang w:eastAsia="en-US"/>
        </w:rPr>
        <w:t xml:space="preserve">do 60 pracovných dní od začiatku konania </w:t>
      </w:r>
      <w:r w:rsidRPr="002D08EE">
        <w:rPr>
          <w:rFonts w:asciiTheme="minorHAnsi" w:eastAsiaTheme="minorHAnsi" w:hAnsiTheme="minorHAnsi"/>
          <w:color w:val="000000"/>
          <w:sz w:val="22"/>
          <w:szCs w:val="22"/>
          <w:lang w:eastAsia="en-US"/>
        </w:rPr>
        <w:t>z vlastného podnetu alebo od uznania opodstatnenosti podnetu žiadateľa. Vo</w:t>
      </w:r>
      <w:r w:rsidR="00992E46"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zvlášť zložitých prípadoch rozhodne </w:t>
      </w:r>
      <w:r w:rsidRPr="002D08EE">
        <w:rPr>
          <w:rFonts w:asciiTheme="minorHAnsi" w:eastAsiaTheme="minorHAnsi" w:hAnsiTheme="minorHAnsi"/>
          <w:b/>
          <w:bCs/>
          <w:color w:val="000000"/>
          <w:sz w:val="22"/>
          <w:szCs w:val="22"/>
          <w:lang w:eastAsia="en-US"/>
        </w:rPr>
        <w:t>do 90 pracovných dní</w:t>
      </w:r>
      <w:r w:rsidRPr="002D08EE">
        <w:rPr>
          <w:rFonts w:asciiTheme="minorHAnsi" w:eastAsiaTheme="minorHAnsi" w:hAnsiTheme="minorHAnsi"/>
          <w:color w:val="000000"/>
          <w:sz w:val="22"/>
          <w:szCs w:val="22"/>
          <w:lang w:eastAsia="en-US"/>
        </w:rPr>
        <w:t>, pričom v</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takomto prípade informuje žiadateľa listom ŠO o predĺžení a dôvodoch predĺženia.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Ďalšie skutočnosti ohľadom odvolacieho konania sú uvedené v Systéme riadenia EŠIF, kapitola 3.2.4 Opravné prostriedky.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b/>
          <w:bCs/>
          <w:color w:val="000000"/>
          <w:sz w:val="22"/>
          <w:szCs w:val="22"/>
          <w:lang w:eastAsia="en-US"/>
        </w:rPr>
        <w:t xml:space="preserve">Oprava rozhodnutia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Oprava rozhodnutia slúži RO na odstránenie chýb v písaní, počítaní a iných zrejmých nesprávností v písomnom vyhotovení rozhodnutia jednoduchšou formou bez potreby zmeny rozhodnutia v rámci formalizovaného konania.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Na opravu rozhodnutia sa vzťahuje § 47 ods. 6 správneho poriadku, t.j. chyby v písaní, v</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počítaní alebo iné zrejmé nesprávnosti sú opravené kedykoľvek aj bez návrhu žiadateľa.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Opravu rozhodnutia vykoná RO alebo štatutárny orgán RO v závislosti od toho, kto rozhodnutie vydal a o oprave informuje žiadateľa.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 vykoná zmenu rozhodnutia formou listu, v ktorom jednoznačným spôsobom identifikuje menené náležitosti rozhodnutia. Oznámenie zasiela RO žiadateľovi a uchováva ho spolu s rozhodnutím, ktorého sa oprava týka.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Oprava rozhodnutia je možná vo vzťahu ku všetkým typom rozhodnutí vydaných podľa zákona o príspevku z EŠIF. Možnosť opravy rozhodnutia podľa tejto kapitoly nie je časovo obmedzená. </w:t>
      </w:r>
    </w:p>
    <w:p w:rsidR="003F2A48" w:rsidRPr="002D08EE" w:rsidRDefault="003F2A48" w:rsidP="00992E46">
      <w:pPr>
        <w:autoSpaceDE w:val="0"/>
        <w:autoSpaceDN w:val="0"/>
        <w:adjustRightInd w:val="0"/>
        <w:spacing w:before="120" w:after="120"/>
        <w:ind w:firstLine="360"/>
        <w:rPr>
          <w:rFonts w:asciiTheme="minorHAnsi" w:eastAsiaTheme="minorHAnsi" w:hAnsiTheme="minorHAnsi"/>
          <w:color w:val="000000"/>
          <w:sz w:val="22"/>
          <w:szCs w:val="22"/>
          <w:u w:val="single"/>
          <w:lang w:eastAsia="en-US"/>
        </w:rPr>
      </w:pPr>
      <w:r w:rsidRPr="002D08EE">
        <w:rPr>
          <w:rFonts w:asciiTheme="minorHAnsi" w:eastAsiaTheme="minorHAnsi" w:hAnsiTheme="minorHAnsi"/>
          <w:b/>
          <w:bCs/>
          <w:color w:val="000000"/>
          <w:sz w:val="22"/>
          <w:szCs w:val="22"/>
          <w:u w:val="single"/>
          <w:lang w:eastAsia="en-US"/>
        </w:rPr>
        <w:t xml:space="preserve">Merateľné ukazovatele pri predkladaní žiadosti o NFP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rámci merateľných ukazovateľov definovaných vo vyzvaní je RO oprávnený identifikovať také merateľné ukazovatele, ktorých dosiahnutie je objektívne ovplyvniteľné externými faktormi, a ktorých dosahovanie nie je plne v kompetencii prijímateľa (merateľné ukazovatele s príznakom). Nedosiahnutie plánovanej hodnoty takýchto merateľných ukazovateľov pri preukázaní daného externého vplyvu nemusí byť spojené s finančnou sankciou vo vzťahu k prijímateľovi.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Označením merateľného ukazovateľa vo vyzvaní (s príznakom) RO identifikuje merateľné ukazovatele na úrovni projektu, pri ktorých predpokladá možnosť prijímateľa preukázať, že nenaplnenie merateľného ukazovateľa na úrovni projektu bolo zavinené skutočnosťami objektívne neovplyvniteľnými prijímateľom. Takéto merateľné ukazovatele žiadateľ už pri podávaní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automaticky </w:t>
      </w:r>
      <w:r w:rsidRPr="002D08EE">
        <w:rPr>
          <w:rFonts w:asciiTheme="minorHAnsi" w:eastAsiaTheme="minorHAnsi" w:hAnsiTheme="minorHAnsi"/>
          <w:b/>
          <w:bCs/>
          <w:color w:val="000000"/>
          <w:sz w:val="22"/>
          <w:szCs w:val="22"/>
          <w:lang w:eastAsia="en-US"/>
        </w:rPr>
        <w:t>zahŕňa do analýzy rizík</w:t>
      </w:r>
      <w:r w:rsidRPr="002D08EE">
        <w:rPr>
          <w:rFonts w:asciiTheme="minorHAnsi" w:eastAsiaTheme="minorHAnsi" w:hAnsiTheme="minorHAnsi"/>
          <w:color w:val="000000"/>
          <w:sz w:val="22"/>
          <w:szCs w:val="22"/>
          <w:lang w:eastAsia="en-US"/>
        </w:rPr>
        <w:t xml:space="preserve">, ktorá je súčasťou predkladanej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a identifikuje v nej faktory, ktoré by mohli spôsobiť nedosiahnutie plánovanej hodnoty merateľného ukazovateľa. Predpoklady nedosiahnutia hodnoty merateľného ukazovateľa uvedené v analýze rizík budú jednou zo skutočností, ktoré RO posudzuje v súvislosti s implementáciou projektu pri nedosiahnutí plánovanej hodnoty. </w:t>
      </w:r>
    </w:p>
    <w:p w:rsidR="003F2A48" w:rsidRPr="002D08EE" w:rsidRDefault="003F2A48" w:rsidP="00992E46">
      <w:pPr>
        <w:spacing w:before="120" w:after="120"/>
        <w:ind w:firstLine="360"/>
        <w:jc w:val="both"/>
        <w:rPr>
          <w:rFonts w:asciiTheme="minorHAnsi" w:hAnsiTheme="minorHAnsi"/>
          <w:sz w:val="22"/>
          <w:szCs w:val="22"/>
        </w:rPr>
      </w:pPr>
      <w:r w:rsidRPr="002D08EE">
        <w:rPr>
          <w:rFonts w:asciiTheme="minorHAnsi" w:eastAsiaTheme="minorHAnsi" w:hAnsiTheme="minorHAnsi"/>
          <w:color w:val="000000"/>
          <w:sz w:val="22"/>
          <w:szCs w:val="22"/>
          <w:lang w:eastAsia="en-US"/>
        </w:rPr>
        <w:t xml:space="preserve">Žiadateľ pri vypracovaní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povinne vyberá všetky merateľné ukazovatele priradené k zvolenému typu aktivít definovaných RO, pričom v prípade, ak k niektorej aktivite sú priradené</w:t>
      </w:r>
      <w:r w:rsidR="00992E46" w:rsidRPr="002D08EE">
        <w:rPr>
          <w:rFonts w:asciiTheme="minorHAnsi" w:hAnsiTheme="minorHAnsi"/>
          <w:sz w:val="22"/>
          <w:szCs w:val="22"/>
        </w:rPr>
        <w:t xml:space="preserve"> </w:t>
      </w:r>
      <w:r w:rsidRPr="002D08EE">
        <w:rPr>
          <w:rFonts w:asciiTheme="minorHAnsi" w:eastAsiaTheme="minorHAnsi" w:hAnsiTheme="minorHAnsi"/>
          <w:color w:val="000000"/>
          <w:sz w:val="22"/>
          <w:szCs w:val="22"/>
          <w:lang w:eastAsia="en-US"/>
        </w:rPr>
        <w:t xml:space="preserve">merateľné ukazovatele, ktoré pre realizáciu konkrétneho projektu nebudú relevantné, žiadateľ v rámci plánovanej hodnoty uvedie hodnotu ,,0“.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Žiadateľ je povinný ku každej aktivite projektu priradiť minimálne jeden merateľný ukazovateľ, ktorý musí predstavovať kvantifikáciu toho, čo sa realizáciou aktivity za</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požadované výdavky dosiahne. Zároveň platí, že nie pre každý projekt musí byť relevantné z hľadiska navrhovaných aktivít sledovanie všetkých merateľných ukazovateľov, ktoré sú priradené k relevantnému typu aktivít. Pre účely sledovania pokroku v realizácii projektu a získavania údajov o dosiahnutých hodnotách výlučne realizáciou projektu, je východisková hodnota všetkých merateľných ukazovateľov projektu vždy ,,0“, preto pri merateľnom ukazovateli žiadateľ uvádza výlučne plánovanú cieľovú hodnotu relevantných ukazovateľov.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V prípade projektov, ktoré v súlade s vyzvaním prispievajú k viacerým špecifickým cieľom a v rámci relevantných aktivít sa v súbore ukazovateľov priradených k aktivitám oboch špecifických cieľov opakuje ten istý merateľný ukazovateľ, opakujúci sa merateľný ukazovateľ vyberá žiadateľ pri každej aktivite. Jeho hodnota sa určuje s ohľadom na</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príspevok relevantnej aktivity k naplneniu celkovej hodnoty ukazovateľa.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Merateľné ukazovatele </w:t>
      </w:r>
      <w:r w:rsidRPr="002D08EE">
        <w:rPr>
          <w:rFonts w:asciiTheme="minorHAnsi" w:eastAsiaTheme="minorHAnsi" w:hAnsiTheme="minorHAnsi"/>
          <w:b/>
          <w:bCs/>
          <w:color w:val="000000"/>
          <w:sz w:val="22"/>
          <w:szCs w:val="22"/>
          <w:lang w:eastAsia="en-US"/>
        </w:rPr>
        <w:t xml:space="preserve">bez príznaku </w:t>
      </w:r>
      <w:r w:rsidRPr="002D08EE">
        <w:rPr>
          <w:rFonts w:asciiTheme="minorHAnsi" w:eastAsiaTheme="minorHAnsi" w:hAnsiTheme="minorHAnsi"/>
          <w:color w:val="000000"/>
          <w:sz w:val="22"/>
          <w:szCs w:val="22"/>
          <w:lang w:eastAsia="en-US"/>
        </w:rPr>
        <w:t xml:space="preserve">sú počas implementácie projektu </w:t>
      </w:r>
      <w:r w:rsidRPr="002D08EE">
        <w:rPr>
          <w:rFonts w:asciiTheme="minorHAnsi" w:eastAsiaTheme="minorHAnsi" w:hAnsiTheme="minorHAnsi"/>
          <w:b/>
          <w:bCs/>
          <w:color w:val="000000"/>
          <w:sz w:val="22"/>
          <w:szCs w:val="22"/>
          <w:lang w:eastAsia="en-US"/>
        </w:rPr>
        <w:t xml:space="preserve">záväzné </w:t>
      </w:r>
      <w:r w:rsidRPr="002D08EE">
        <w:rPr>
          <w:rFonts w:asciiTheme="minorHAnsi" w:eastAsiaTheme="minorHAnsi" w:hAnsiTheme="minorHAnsi"/>
          <w:color w:val="000000"/>
          <w:sz w:val="22"/>
          <w:szCs w:val="22"/>
          <w:lang w:eastAsia="en-US"/>
        </w:rPr>
        <w:t>z</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hľadiska dosiahnutia ich plánovanej hodnoty, pričom akceptovateľná miera odchýlky, ktorá nebude mať za následok vznik finančnej zodpovednosti je určená v zmluve o NFP/internom Rozhodnutí žiadosti o NFP.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prípade sledovania merateľných ukazovateľov </w:t>
      </w:r>
      <w:r w:rsidRPr="002D08EE">
        <w:rPr>
          <w:rFonts w:asciiTheme="minorHAnsi" w:eastAsiaTheme="minorHAnsi" w:hAnsiTheme="minorHAnsi"/>
          <w:b/>
          <w:bCs/>
          <w:color w:val="000000"/>
          <w:sz w:val="22"/>
          <w:szCs w:val="22"/>
          <w:lang w:eastAsia="en-US"/>
        </w:rPr>
        <w:t xml:space="preserve">s príznakom </w:t>
      </w:r>
      <w:r w:rsidRPr="002D08EE">
        <w:rPr>
          <w:rFonts w:asciiTheme="minorHAnsi" w:eastAsiaTheme="minorHAnsi" w:hAnsiTheme="minorHAnsi"/>
          <w:color w:val="000000"/>
          <w:sz w:val="22"/>
          <w:szCs w:val="22"/>
          <w:lang w:eastAsia="en-US"/>
        </w:rPr>
        <w:t xml:space="preserve">RO pri vyhodnocovaní nedosahovania stanovenej hodnoty </w:t>
      </w:r>
      <w:r w:rsidRPr="002D08EE">
        <w:rPr>
          <w:rFonts w:asciiTheme="minorHAnsi" w:eastAsiaTheme="minorHAnsi" w:hAnsiTheme="minorHAnsi"/>
          <w:b/>
          <w:bCs/>
          <w:color w:val="000000"/>
          <w:sz w:val="22"/>
          <w:szCs w:val="22"/>
          <w:lang w:eastAsia="en-US"/>
        </w:rPr>
        <w:t xml:space="preserve">posúdi zdôvodnenie nedosiahnutia týchto ukazovateľov </w:t>
      </w:r>
      <w:r w:rsidRPr="002D08EE">
        <w:rPr>
          <w:rFonts w:asciiTheme="minorHAnsi" w:eastAsiaTheme="minorHAnsi" w:hAnsiTheme="minorHAnsi"/>
          <w:color w:val="000000"/>
          <w:sz w:val="22"/>
          <w:szCs w:val="22"/>
          <w:lang w:eastAsia="en-US"/>
        </w:rPr>
        <w:t xml:space="preserve">z hľadiska identifikácie rizík, ktoré boli predmetom analýzy pri predkladaní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a predložených dokumentov preukazujúcich skutočnosť, že nedosiahnutie hodnôt merateľných ukazovateľov bolo spôsobené faktormi, ktoré prijímateľ objektívne nemohol ovplyvniť. Pri vyhodnocovaní zodpovednosti prijímateľa za nedosiahnutie hodnôt merateľného ukazovateľa s príznakom RO aplikuje relevantné ustanovenia zmluvy o</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NFP/interného Rozhodnutia žiadosti o NFP. </w:t>
      </w:r>
    </w:p>
    <w:p w:rsidR="003F2A48" w:rsidRPr="002D08EE" w:rsidRDefault="003F2A48" w:rsidP="00992E46">
      <w:pPr>
        <w:autoSpaceDE w:val="0"/>
        <w:autoSpaceDN w:val="0"/>
        <w:adjustRightInd w:val="0"/>
        <w:spacing w:before="120" w:after="120"/>
        <w:jc w:val="both"/>
        <w:rPr>
          <w:rFonts w:asciiTheme="minorHAnsi" w:eastAsiaTheme="minorHAnsi" w:hAnsiTheme="minorHAnsi"/>
          <w:color w:val="000000"/>
          <w:sz w:val="22"/>
          <w:szCs w:val="22"/>
          <w:u w:val="single"/>
          <w:lang w:eastAsia="en-US"/>
        </w:rPr>
      </w:pPr>
      <w:r w:rsidRPr="002D08EE">
        <w:rPr>
          <w:rFonts w:asciiTheme="minorHAnsi" w:eastAsiaTheme="minorHAnsi" w:hAnsiTheme="minorHAnsi"/>
          <w:b/>
          <w:bCs/>
          <w:color w:val="000000"/>
          <w:sz w:val="22"/>
          <w:szCs w:val="22"/>
          <w:u w:val="single"/>
          <w:lang w:eastAsia="en-US"/>
        </w:rPr>
        <w:t xml:space="preserve">Informácia o príspevku k horizontálnym princípom rovnosť mužov a žien a nediskriminácia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Hlavným cieľom HP rovnosť mužov a žien a nediskriminácia je odstraňovať bariéry, ktoré vedú k izolácii a vylučovaniu ľudí z verejného, politického, spoločenského, pracovného života, a to na základe takých sociálnych kategórií ako je pohlavie, rod, vek, rasa, etnikum, vierovyznanie alebo náboženstvo, sexuálna orientácia, zdravotné postihnutie, mzdová diskriminácia atď. Cieľom uplatňovania HP </w:t>
      </w:r>
      <w:proofErr w:type="spellStart"/>
      <w:r w:rsidRPr="002D08EE">
        <w:rPr>
          <w:rFonts w:asciiTheme="minorHAnsi" w:eastAsiaTheme="minorHAnsi" w:hAnsiTheme="minorHAnsi"/>
          <w:color w:val="000000"/>
          <w:sz w:val="22"/>
          <w:szCs w:val="22"/>
          <w:lang w:eastAsia="en-US"/>
        </w:rPr>
        <w:t>RMŽaND</w:t>
      </w:r>
      <w:proofErr w:type="spellEnd"/>
      <w:r w:rsidRPr="002D08EE">
        <w:rPr>
          <w:rFonts w:asciiTheme="minorHAnsi" w:eastAsiaTheme="minorHAnsi" w:hAnsiTheme="minorHAnsi"/>
          <w:color w:val="000000"/>
          <w:sz w:val="22"/>
          <w:szCs w:val="22"/>
          <w:lang w:eastAsia="en-US"/>
        </w:rPr>
        <w:t xml:space="preserve"> je zároveň eliminovať a predchádzať diskriminácii na základe týchto znakov. Osobitný prístup si vyžadujú osoby so zdravotným postihnutím, pre ktoré je potrebné vytvorenie mimoriadnych podmienok prístupnosti (napr. prístupnosť informácií, bezbariérové architektonické prostredie).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OP TP sa dotýka hlavne nasledujúcich cieľov HP </w:t>
      </w:r>
      <w:proofErr w:type="spellStart"/>
      <w:r w:rsidRPr="002D08EE">
        <w:rPr>
          <w:rFonts w:asciiTheme="minorHAnsi" w:eastAsiaTheme="minorHAnsi" w:hAnsiTheme="minorHAnsi"/>
          <w:color w:val="000000"/>
          <w:sz w:val="22"/>
          <w:szCs w:val="22"/>
          <w:lang w:eastAsia="en-US"/>
        </w:rPr>
        <w:t>RMŽaND</w:t>
      </w:r>
      <w:proofErr w:type="spellEnd"/>
      <w:r w:rsidRPr="002D08EE">
        <w:rPr>
          <w:rFonts w:asciiTheme="minorHAnsi" w:eastAsiaTheme="minorHAnsi" w:hAnsiTheme="minorHAnsi"/>
          <w:color w:val="000000"/>
          <w:sz w:val="22"/>
          <w:szCs w:val="22"/>
          <w:lang w:eastAsia="en-US"/>
        </w:rPr>
        <w:t xml:space="preserve">: </w:t>
      </w:r>
    </w:p>
    <w:p w:rsidR="00992E46" w:rsidRPr="002D08EE" w:rsidRDefault="003F2A48" w:rsidP="00992E46">
      <w:pPr>
        <w:pStyle w:val="Odsekzoznamu"/>
        <w:numPr>
          <w:ilvl w:val="0"/>
          <w:numId w:val="2"/>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rámci horizontálneho </w:t>
      </w:r>
      <w:r w:rsidRPr="002D08EE">
        <w:rPr>
          <w:rFonts w:asciiTheme="minorHAnsi" w:eastAsiaTheme="minorHAnsi" w:hAnsiTheme="minorHAnsi"/>
          <w:b/>
          <w:bCs/>
          <w:color w:val="000000"/>
          <w:sz w:val="22"/>
          <w:szCs w:val="22"/>
          <w:lang w:eastAsia="en-US"/>
        </w:rPr>
        <w:t xml:space="preserve">princípu rovnosť mužov a žien </w:t>
      </w:r>
      <w:r w:rsidRPr="002D08EE">
        <w:rPr>
          <w:rFonts w:asciiTheme="minorHAnsi" w:eastAsiaTheme="minorHAnsi" w:hAnsiTheme="minorHAnsi"/>
          <w:color w:val="000000"/>
          <w:sz w:val="22"/>
          <w:szCs w:val="22"/>
          <w:lang w:eastAsia="en-US"/>
        </w:rPr>
        <w:t xml:space="preserve">ide konkrétne o cieľ „zníženie horizontálnej a vertikálnej rodovej segregácie v odvetviach hospodárstva mužov a žien“; </w:t>
      </w:r>
    </w:p>
    <w:p w:rsidR="003F2A48" w:rsidRPr="002D08EE" w:rsidRDefault="003F2A48" w:rsidP="00992E46">
      <w:pPr>
        <w:pStyle w:val="Odsekzoznamu"/>
        <w:numPr>
          <w:ilvl w:val="0"/>
          <w:numId w:val="2"/>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 v rámci horizontálneho </w:t>
      </w:r>
      <w:r w:rsidRPr="002D08EE">
        <w:rPr>
          <w:rFonts w:asciiTheme="minorHAnsi" w:eastAsiaTheme="minorHAnsi" w:hAnsiTheme="minorHAnsi"/>
          <w:b/>
          <w:bCs/>
          <w:color w:val="000000"/>
          <w:sz w:val="22"/>
          <w:szCs w:val="22"/>
          <w:lang w:eastAsia="en-US"/>
        </w:rPr>
        <w:t xml:space="preserve">princípu nediskriminácia </w:t>
      </w:r>
      <w:r w:rsidRPr="002D08EE">
        <w:rPr>
          <w:rFonts w:asciiTheme="minorHAnsi" w:eastAsiaTheme="minorHAnsi" w:hAnsiTheme="minorHAnsi"/>
          <w:color w:val="000000"/>
          <w:sz w:val="22"/>
          <w:szCs w:val="22"/>
          <w:lang w:eastAsia="en-US"/>
        </w:rPr>
        <w:t xml:space="preserve">ide konkrétne o cieľ „zabezpečenie rovnosti príležitostí v prístupe a využívaní infraštruktúry a služieb“.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Analytickú, hodnotiacu, strategickú a legislatívnu činnosť pre uplatňovanie horizontálnych princípov rovnosť mužov a žien a nediskriminácia na národnej úrovni zabezpečuje Ministerstvo práce, sociálnych vecí a rodiny SR, ktoré zodpovedá aj za</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definovanie podmienok poskytnutia pomoci súvisiacej so zabezpečením aplikovania týchto horizontálnych princípov a spôsobu ich overovania.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Uplatňovanie HP rovnosť mužov a žien a nediskriminácia bude v prípade relevancie vyzvania na projektovej úrovni overované v procese výberu projektov, ako aj v procese monitorovania a kontroly projektov.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rámci </w:t>
      </w:r>
      <w:r w:rsidRPr="002D08EE">
        <w:rPr>
          <w:rFonts w:asciiTheme="minorHAnsi" w:eastAsiaTheme="minorHAnsi" w:hAnsiTheme="minorHAnsi"/>
          <w:b/>
          <w:bCs/>
          <w:color w:val="000000"/>
          <w:sz w:val="22"/>
          <w:szCs w:val="22"/>
          <w:lang w:eastAsia="en-US"/>
        </w:rPr>
        <w:t xml:space="preserve">aktivít tohto vyzvania </w:t>
      </w:r>
      <w:r w:rsidRPr="002D08EE">
        <w:rPr>
          <w:rFonts w:asciiTheme="minorHAnsi" w:eastAsiaTheme="minorHAnsi" w:hAnsiTheme="minorHAnsi"/>
          <w:color w:val="000000"/>
          <w:sz w:val="22"/>
          <w:szCs w:val="22"/>
          <w:lang w:eastAsia="en-US"/>
        </w:rPr>
        <w:t xml:space="preserve">nie sú projekty priamo zamerané na podporu znevýhodnených skupín.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 súvislosti s týmto vyzvaním je však potrebné upozorniť osobitne na to, aby v rámci vzdelávania </w:t>
      </w:r>
      <w:r w:rsidRPr="002D08EE">
        <w:rPr>
          <w:rFonts w:asciiTheme="minorHAnsi" w:eastAsiaTheme="minorHAnsi" w:hAnsiTheme="minorHAnsi"/>
          <w:b/>
          <w:bCs/>
          <w:color w:val="000000"/>
          <w:sz w:val="22"/>
          <w:szCs w:val="22"/>
          <w:lang w:eastAsia="en-US"/>
        </w:rPr>
        <w:t>nedochádzalo k znevýhodneným podmienkam pre akúkoľvek skupinu osôb</w:t>
      </w:r>
      <w:r w:rsidRPr="002D08EE">
        <w:rPr>
          <w:rFonts w:asciiTheme="minorHAnsi" w:eastAsiaTheme="minorHAnsi" w:hAnsiTheme="minorHAnsi"/>
          <w:color w:val="000000"/>
          <w:sz w:val="22"/>
          <w:szCs w:val="22"/>
          <w:lang w:eastAsia="en-US"/>
        </w:rPr>
        <w:t xml:space="preserve">.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V rámci oprávnených aktivít tohto vyzvania je potrebné zabezpečiť aj prístupnosť k</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informačným systémom pre znevýhodnené skupiny splnením požiadaviek definovaných vo</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Výnose MF SR č. 55 /2014 </w:t>
      </w:r>
      <w:proofErr w:type="spellStart"/>
      <w:r w:rsidRPr="002D08EE">
        <w:rPr>
          <w:rFonts w:asciiTheme="minorHAnsi" w:eastAsiaTheme="minorHAnsi" w:hAnsiTheme="minorHAnsi"/>
          <w:color w:val="000000"/>
          <w:sz w:val="22"/>
          <w:szCs w:val="22"/>
          <w:lang w:eastAsia="en-US"/>
        </w:rPr>
        <w:t>Z.z</w:t>
      </w:r>
      <w:proofErr w:type="spellEnd"/>
      <w:r w:rsidRPr="002D08EE">
        <w:rPr>
          <w:rFonts w:asciiTheme="minorHAnsi" w:eastAsiaTheme="minorHAnsi" w:hAnsiTheme="minorHAnsi"/>
          <w:color w:val="000000"/>
          <w:sz w:val="22"/>
          <w:szCs w:val="22"/>
          <w:lang w:eastAsia="en-US"/>
        </w:rPr>
        <w:t xml:space="preserve">. o štandardoch pre informačné systémy verejnej správy.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Úspešný žiadateľ bude však povinný v rámci monitorovacej správy projektu vypĺňať „Iné údaje na úrovni projektu“, ktoré prispievajú k sledovaniu príspevku k HP RMŽ a ND v</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prípade, ak budú vyžadované a uvedené v Prílohe č. 2 Zmluvy o poskytnutí NFP. </w:t>
      </w:r>
      <w:r w:rsidRPr="002D08EE">
        <w:rPr>
          <w:rFonts w:asciiTheme="minorHAnsi" w:eastAsiaTheme="minorHAnsi" w:hAnsiTheme="minorHAnsi"/>
          <w:b/>
          <w:bCs/>
          <w:color w:val="000000"/>
          <w:sz w:val="22"/>
          <w:szCs w:val="22"/>
          <w:lang w:eastAsia="en-US"/>
        </w:rPr>
        <w:t>V</w:t>
      </w:r>
      <w:r w:rsidR="00992E46" w:rsidRPr="002D08EE">
        <w:rPr>
          <w:rFonts w:asciiTheme="minorHAnsi" w:eastAsiaTheme="minorHAnsi" w:hAnsiTheme="minorHAnsi"/>
          <w:b/>
          <w:bCs/>
          <w:color w:val="000000"/>
          <w:sz w:val="22"/>
          <w:szCs w:val="22"/>
          <w:lang w:eastAsia="en-US"/>
        </w:rPr>
        <w:t> </w:t>
      </w:r>
      <w:r w:rsidRPr="002D08EE">
        <w:rPr>
          <w:rFonts w:asciiTheme="minorHAnsi" w:eastAsiaTheme="minorHAnsi" w:hAnsiTheme="minorHAnsi"/>
          <w:b/>
          <w:bCs/>
          <w:color w:val="000000"/>
          <w:sz w:val="22"/>
          <w:szCs w:val="22"/>
          <w:lang w:eastAsia="en-US"/>
        </w:rPr>
        <w:t>priebehu implementácie projektu môže byť rozsah požadovaných iných údajov upravený (rozšírený, resp. zúžený) a poskytovanie týchto údajov bude prebiehať v</w:t>
      </w:r>
      <w:r w:rsidR="00992E46" w:rsidRPr="002D08EE">
        <w:rPr>
          <w:rFonts w:asciiTheme="minorHAnsi" w:eastAsiaTheme="minorHAnsi" w:hAnsiTheme="minorHAnsi"/>
          <w:b/>
          <w:bCs/>
          <w:color w:val="000000"/>
          <w:sz w:val="22"/>
          <w:szCs w:val="22"/>
          <w:lang w:eastAsia="en-US"/>
        </w:rPr>
        <w:t> </w:t>
      </w:r>
      <w:r w:rsidRPr="002D08EE">
        <w:rPr>
          <w:rFonts w:asciiTheme="minorHAnsi" w:eastAsiaTheme="minorHAnsi" w:hAnsiTheme="minorHAnsi"/>
          <w:b/>
          <w:bCs/>
          <w:color w:val="000000"/>
          <w:sz w:val="22"/>
          <w:szCs w:val="22"/>
          <w:lang w:eastAsia="en-US"/>
        </w:rPr>
        <w:t xml:space="preserve">súlade s podmienkami dohodnutými v zmluve o poskytnutí NFP.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Proces monitorovania plnenia horizontálnych princípov bude na projektovej úrovni sledovaný prostredníctvom ukazovateľov (iné údaje), ktoré je žiadateľ povinný uvádzať v</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monitorovacích správach.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u w:val="single"/>
          <w:lang w:eastAsia="en-US"/>
        </w:rPr>
      </w:pPr>
      <w:r w:rsidRPr="002D08EE">
        <w:rPr>
          <w:rFonts w:asciiTheme="minorHAnsi" w:eastAsiaTheme="minorHAnsi" w:hAnsiTheme="minorHAnsi"/>
          <w:b/>
          <w:bCs/>
          <w:color w:val="000000"/>
          <w:sz w:val="22"/>
          <w:szCs w:val="22"/>
          <w:u w:val="single"/>
          <w:lang w:eastAsia="en-US"/>
        </w:rPr>
        <w:t xml:space="preserve">Príprava zmluvy o poskytnutí NFP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V zmysle § 25 ods. 1 zákona o príspevku z EŠIF sa príspevok poskytuje prijímateľovi na</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základe a v súlade so zmluvou o NFP uzavretou podľa § 269 ods. 2 Obchodného zákonníka.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Žiadateľ je v súlade s § 25 ods. 4 zákona o príspevku z EŠIF povinný, pred uzavretím zmluvy o poskytnutí NFP, </w:t>
      </w:r>
      <w:r w:rsidRPr="002D08EE">
        <w:rPr>
          <w:rFonts w:asciiTheme="minorHAnsi" w:eastAsiaTheme="minorHAnsi" w:hAnsiTheme="minorHAnsi"/>
          <w:b/>
          <w:bCs/>
          <w:color w:val="000000"/>
          <w:sz w:val="22"/>
          <w:szCs w:val="22"/>
          <w:lang w:eastAsia="en-US"/>
        </w:rPr>
        <w:t xml:space="preserve">poskytnúť RO OP TP súčinnosť </w:t>
      </w:r>
      <w:r w:rsidRPr="002D08EE">
        <w:rPr>
          <w:rFonts w:asciiTheme="minorHAnsi" w:eastAsiaTheme="minorHAnsi" w:hAnsiTheme="minorHAnsi"/>
          <w:color w:val="000000"/>
          <w:sz w:val="22"/>
          <w:szCs w:val="22"/>
          <w:lang w:eastAsia="en-US"/>
        </w:rPr>
        <w:t>v rozsahu potrebnom na</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uzavretie zmluvy o poskytnutí NFP. </w:t>
      </w:r>
    </w:p>
    <w:p w:rsidR="003F2A48" w:rsidRPr="002D08EE" w:rsidRDefault="003F2A48" w:rsidP="00992E46">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 zasiela písomný návrh na uzavretie zmluvy o poskytnutí NFP a určí lehotu na prijatie návrhu žiadateľovi: </w:t>
      </w:r>
    </w:p>
    <w:p w:rsidR="003F2A48" w:rsidRPr="002D08EE" w:rsidRDefault="003F2A48" w:rsidP="00992E46">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 ktorému rozhodnutie o schválení nadobudlo právoplatnosť, </w:t>
      </w:r>
    </w:p>
    <w:p w:rsidR="003F2A48" w:rsidRPr="002D08EE" w:rsidRDefault="003F2A48" w:rsidP="00992E46">
      <w:pPr>
        <w:pStyle w:val="Odsekzoznamu"/>
        <w:autoSpaceDE w:val="0"/>
        <w:autoSpaceDN w:val="0"/>
        <w:adjustRightInd w:val="0"/>
        <w:spacing w:before="120" w:after="120"/>
        <w:ind w:left="709" w:hanging="283"/>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b) ktorý splnil podmienky určené vo výroku rozhodnutia podľa § 19 ods. 11 zákona o</w:t>
      </w:r>
      <w:r w:rsidR="00992E46"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príspevku z EŠIF, ak boli podmienky vo výroku rozhodnutia určené a, </w:t>
      </w:r>
    </w:p>
    <w:p w:rsidR="003F2A48" w:rsidRPr="002D08EE" w:rsidRDefault="003F2A48" w:rsidP="00992E46">
      <w:pPr>
        <w:pStyle w:val="Odsekzoznamu"/>
        <w:autoSpaceDE w:val="0"/>
        <w:autoSpaceDN w:val="0"/>
        <w:adjustRightInd w:val="0"/>
        <w:spacing w:before="120" w:after="120"/>
        <w:ind w:left="709" w:hanging="283"/>
        <w:contextualSpacing w:val="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c) ktorý poskytol potrebnú súčinnosť.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Právny nárok na poskytnutie príspevku vzniká nadobudnutím účinnosti zmluvy o NFP.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Zmluva o poskytnutí NFP, ktorú RO OP TP uzavrie so Žiadateľom po ukončení procesu schvaľovania a výbere vhodných projektov, upravuje podrobné podmienky realizácie schváleného projektu a zohľadňuje pre prijímateľa relevantné ustanovenia všeobecne záväzných právnych predpisov EÚ a SR a relevantné ustanovenia Systému riadenia EŠIF, Systému finančného riadenia a ďalších riadiacich dokumentov, ktorých úprava bola právnymi normami ponechaná na príslušné orgány.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Vzor zmluvy o poskytnutí NFP </w:t>
      </w:r>
      <w:r w:rsidR="00FB4A6D">
        <w:rPr>
          <w:rFonts w:asciiTheme="minorHAnsi" w:eastAsiaTheme="minorHAnsi" w:hAnsiTheme="minorHAnsi"/>
          <w:color w:val="000000"/>
          <w:sz w:val="22"/>
          <w:szCs w:val="22"/>
          <w:lang w:eastAsia="en-US"/>
        </w:rPr>
        <w:t>je</w:t>
      </w:r>
      <w:r w:rsidRPr="002D08EE">
        <w:rPr>
          <w:rFonts w:asciiTheme="minorHAnsi" w:eastAsiaTheme="minorHAnsi" w:hAnsiTheme="minorHAnsi"/>
          <w:color w:val="000000"/>
          <w:sz w:val="22"/>
          <w:szCs w:val="22"/>
          <w:lang w:eastAsia="en-US"/>
        </w:rPr>
        <w:t xml:space="preserve"> </w:t>
      </w:r>
      <w:r w:rsidR="00FB4A6D" w:rsidRPr="002D08EE">
        <w:rPr>
          <w:rFonts w:asciiTheme="minorHAnsi" w:eastAsiaTheme="minorHAnsi" w:hAnsiTheme="minorHAnsi"/>
          <w:color w:val="000000"/>
          <w:sz w:val="22"/>
          <w:szCs w:val="22"/>
          <w:lang w:eastAsia="en-US"/>
        </w:rPr>
        <w:t>zverejnen</w:t>
      </w:r>
      <w:r w:rsidR="00FB4A6D">
        <w:rPr>
          <w:rFonts w:asciiTheme="minorHAnsi" w:eastAsiaTheme="minorHAnsi" w:hAnsiTheme="minorHAnsi"/>
          <w:color w:val="000000"/>
          <w:sz w:val="22"/>
          <w:szCs w:val="22"/>
          <w:lang w:eastAsia="en-US"/>
        </w:rPr>
        <w:t>ý</w:t>
      </w:r>
      <w:r w:rsidR="00FB4A6D"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na webovom sídle RO OP TP </w:t>
      </w:r>
      <w:hyperlink r:id="rId22" w:history="1">
        <w:r w:rsidR="007775EB" w:rsidRPr="000B4FD4">
          <w:rPr>
            <w:rStyle w:val="Hypertextovprepojenie"/>
          </w:rPr>
          <w:t>http://www.optp.vlada.gov.sk/ine-dokumenty/</w:t>
        </w:r>
      </w:hyperlink>
      <w:r w:rsidR="00FB4A6D">
        <w:rPr>
          <w:rFonts w:asciiTheme="minorHAnsi" w:eastAsiaTheme="minorHAnsi" w:hAnsiTheme="minorHAnsi"/>
          <w:color w:val="000000"/>
          <w:sz w:val="22"/>
          <w:szCs w:val="22"/>
          <w:lang w:eastAsia="en-US"/>
        </w:rPr>
        <w:t>.</w:t>
      </w:r>
      <w:r w:rsidRPr="002D08EE">
        <w:rPr>
          <w:rFonts w:asciiTheme="minorHAnsi" w:eastAsiaTheme="minorHAnsi" w:hAnsiTheme="minorHAnsi"/>
          <w:color w:val="000000"/>
          <w:sz w:val="22"/>
          <w:szCs w:val="22"/>
          <w:lang w:eastAsia="en-US"/>
        </w:rPr>
        <w:t xml:space="preserve"> V prípade zmeny vzoru zmluvy o poskytnutí NFP </w:t>
      </w:r>
      <w:r w:rsidR="00FB4A6D" w:rsidRPr="002D08EE">
        <w:rPr>
          <w:rFonts w:asciiTheme="minorHAnsi" w:eastAsiaTheme="minorHAnsi" w:hAnsiTheme="minorHAnsi"/>
          <w:color w:val="000000"/>
          <w:sz w:val="22"/>
          <w:szCs w:val="22"/>
          <w:lang w:eastAsia="en-US"/>
        </w:rPr>
        <w:t>zverejnen</w:t>
      </w:r>
      <w:r w:rsidR="00FB4A6D">
        <w:rPr>
          <w:rFonts w:asciiTheme="minorHAnsi" w:eastAsiaTheme="minorHAnsi" w:hAnsiTheme="minorHAnsi"/>
          <w:color w:val="000000"/>
          <w:sz w:val="22"/>
          <w:szCs w:val="22"/>
          <w:lang w:eastAsia="en-US"/>
        </w:rPr>
        <w:t>ého</w:t>
      </w:r>
      <w:r w:rsidR="00FB4A6D"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na webovom sídle RO OP TP, </w:t>
      </w:r>
      <w:r w:rsidR="00FB4A6D" w:rsidRPr="002D08EE">
        <w:rPr>
          <w:rFonts w:asciiTheme="minorHAnsi" w:eastAsiaTheme="minorHAnsi" w:hAnsiTheme="minorHAnsi"/>
          <w:color w:val="000000"/>
          <w:sz w:val="22"/>
          <w:szCs w:val="22"/>
          <w:lang w:eastAsia="en-US"/>
        </w:rPr>
        <w:t>ktor</w:t>
      </w:r>
      <w:r w:rsidR="00FB4A6D">
        <w:rPr>
          <w:rFonts w:asciiTheme="minorHAnsi" w:eastAsiaTheme="minorHAnsi" w:hAnsiTheme="minorHAnsi"/>
          <w:color w:val="000000"/>
          <w:sz w:val="22"/>
          <w:szCs w:val="22"/>
          <w:lang w:eastAsia="en-US"/>
        </w:rPr>
        <w:t>ý</w:t>
      </w:r>
      <w:r w:rsidR="00FB4A6D"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nie </w:t>
      </w:r>
      <w:r w:rsidR="00654DDD">
        <w:rPr>
          <w:rFonts w:asciiTheme="minorHAnsi" w:eastAsiaTheme="minorHAnsi" w:hAnsiTheme="minorHAnsi"/>
          <w:color w:val="000000"/>
          <w:sz w:val="22"/>
          <w:szCs w:val="22"/>
          <w:lang w:eastAsia="en-US"/>
        </w:rPr>
        <w:t>je</w:t>
      </w:r>
      <w:r w:rsidR="00654DDD"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prílohou vyzvania, RO nahradí </w:t>
      </w:r>
      <w:r w:rsidR="00FB4A6D" w:rsidRPr="002D08EE">
        <w:rPr>
          <w:rFonts w:asciiTheme="minorHAnsi" w:eastAsiaTheme="minorHAnsi" w:hAnsiTheme="minorHAnsi"/>
          <w:color w:val="000000"/>
          <w:sz w:val="22"/>
          <w:szCs w:val="22"/>
          <w:lang w:eastAsia="en-US"/>
        </w:rPr>
        <w:t>zverejnen</w:t>
      </w:r>
      <w:r w:rsidR="00FB4A6D">
        <w:rPr>
          <w:rFonts w:asciiTheme="minorHAnsi" w:eastAsiaTheme="minorHAnsi" w:hAnsiTheme="minorHAnsi"/>
          <w:color w:val="000000"/>
          <w:sz w:val="22"/>
          <w:szCs w:val="22"/>
          <w:lang w:eastAsia="en-US"/>
        </w:rPr>
        <w:t>ý</w:t>
      </w:r>
      <w:r w:rsidR="00FB4A6D"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vzor novou verziou. Predchádzajúce verzie sú dostupné v</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archíve s</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jasným označením čísla verzie a vymedzeným obdobím platnosti.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RO OP TP zašle žiadateľovi návrh na uzavretie zmluvy o poskytnutí NFP bezodkladne po</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podpise štatutárnym orgánom. </w:t>
      </w:r>
      <w:r w:rsidR="00654DDD" w:rsidRPr="009C2C8A">
        <w:rPr>
          <w:rFonts w:asciiTheme="minorHAnsi" w:eastAsiaTheme="minorHAnsi" w:hAnsiTheme="minorHAnsi"/>
          <w:color w:val="000000"/>
          <w:sz w:val="22"/>
          <w:szCs w:val="22"/>
          <w:lang w:eastAsia="en-US"/>
        </w:rPr>
        <w:t xml:space="preserve">V zmysle zákona č. 305/2013 </w:t>
      </w:r>
      <w:r w:rsidR="009C2C8A" w:rsidRPr="002D08EE">
        <w:rPr>
          <w:rFonts w:asciiTheme="minorHAnsi" w:eastAsiaTheme="minorHAnsi" w:hAnsiTheme="minorHAnsi"/>
          <w:color w:val="000000"/>
          <w:sz w:val="22"/>
          <w:szCs w:val="22"/>
          <w:lang w:eastAsia="en-US"/>
        </w:rPr>
        <w:t xml:space="preserve">o elektronickej podobe výkonu pôsobnosti orgánov verejnej moci a o zmene a doplnení niektorých zákonov (zákon o </w:t>
      </w:r>
      <w:proofErr w:type="spellStart"/>
      <w:r w:rsidR="009C2C8A" w:rsidRPr="002D08EE">
        <w:rPr>
          <w:rFonts w:asciiTheme="minorHAnsi" w:eastAsiaTheme="minorHAnsi" w:hAnsiTheme="minorHAnsi"/>
          <w:color w:val="000000"/>
          <w:sz w:val="22"/>
          <w:szCs w:val="22"/>
          <w:lang w:eastAsia="en-US"/>
        </w:rPr>
        <w:t>e-Governmente</w:t>
      </w:r>
      <w:proofErr w:type="spellEnd"/>
      <w:r w:rsidR="009C2C8A" w:rsidRPr="002D08EE">
        <w:rPr>
          <w:rFonts w:asciiTheme="minorHAnsi" w:eastAsiaTheme="minorHAnsi" w:hAnsiTheme="minorHAnsi"/>
          <w:color w:val="000000"/>
          <w:sz w:val="22"/>
          <w:szCs w:val="22"/>
          <w:lang w:eastAsia="en-US"/>
        </w:rPr>
        <w:t>)</w:t>
      </w:r>
      <w:r w:rsidR="00654DDD" w:rsidRPr="002D08EE">
        <w:rPr>
          <w:rFonts w:asciiTheme="minorHAnsi" w:eastAsiaTheme="minorHAnsi" w:hAnsiTheme="minorHAnsi"/>
          <w:color w:val="000000"/>
          <w:sz w:val="22"/>
          <w:szCs w:val="22"/>
          <w:lang w:eastAsia="en-US"/>
        </w:rPr>
        <w:t xml:space="preserve"> </w:t>
      </w:r>
      <w:r w:rsidR="009C2C8A">
        <w:rPr>
          <w:rFonts w:asciiTheme="minorHAnsi" w:eastAsiaTheme="minorHAnsi" w:hAnsiTheme="minorHAnsi"/>
          <w:color w:val="000000"/>
          <w:sz w:val="22"/>
          <w:szCs w:val="22"/>
          <w:lang w:eastAsia="en-US"/>
        </w:rPr>
        <w:t>je</w:t>
      </w:r>
      <w:r w:rsidR="009C2C8A">
        <w:rPr>
          <w:rFonts w:asciiTheme="minorHAnsi" w:eastAsiaTheme="minorHAnsi" w:hAnsiTheme="minorHAnsi"/>
          <w:color w:val="000000"/>
          <w:sz w:val="22"/>
          <w:szCs w:val="22"/>
          <w:lang w:eastAsia="en-US"/>
        </w:rPr>
        <w:br/>
      </w:r>
      <w:r w:rsidR="009C2C8A" w:rsidRPr="002D08EE">
        <w:rPr>
          <w:rFonts w:asciiTheme="minorHAnsi" w:eastAsiaTheme="minorHAnsi" w:hAnsiTheme="minorHAnsi"/>
          <w:color w:val="000000"/>
          <w:sz w:val="22"/>
          <w:szCs w:val="22"/>
          <w:lang w:eastAsia="en-US"/>
        </w:rPr>
        <w:t>od 1. 11. 2016 z</w:t>
      </w:r>
      <w:r w:rsidR="00654DDD" w:rsidRPr="002D08EE">
        <w:rPr>
          <w:rFonts w:asciiTheme="minorHAnsi" w:eastAsiaTheme="minorHAnsi" w:hAnsiTheme="minorHAnsi"/>
          <w:color w:val="000000"/>
          <w:sz w:val="22"/>
          <w:szCs w:val="22"/>
          <w:lang w:eastAsia="en-US"/>
        </w:rPr>
        <w:t xml:space="preserve">mluva o poskytnutí NFP vyhotovená v elektronickej podobe a zmluvné strany ju podpisujú kvalifikovaným elektronickým podpisom (na základe kvalifikovaného certifikátu, mandátneho certifikátu). </w:t>
      </w:r>
      <w:r w:rsidR="009C2C8A" w:rsidRPr="002D08EE">
        <w:rPr>
          <w:rFonts w:asciiTheme="minorHAnsi" w:eastAsiaTheme="minorHAnsi" w:hAnsiTheme="minorHAnsi"/>
          <w:color w:val="000000"/>
          <w:sz w:val="22"/>
          <w:szCs w:val="22"/>
          <w:lang w:eastAsia="en-US"/>
        </w:rPr>
        <w:t>Uzatvorenie zmluvy v</w:t>
      </w:r>
      <w:r w:rsidR="00654DDD" w:rsidRPr="002D08EE">
        <w:rPr>
          <w:rFonts w:asciiTheme="minorHAnsi" w:eastAsiaTheme="minorHAnsi" w:hAnsiTheme="minorHAnsi"/>
          <w:color w:val="000000"/>
          <w:sz w:val="22"/>
          <w:szCs w:val="22"/>
          <w:lang w:eastAsia="en-US"/>
        </w:rPr>
        <w:t> elektronickej podobe sa rovnako vzťahuj</w:t>
      </w:r>
      <w:r w:rsidR="009C2C8A" w:rsidRPr="002D08EE">
        <w:rPr>
          <w:rFonts w:asciiTheme="minorHAnsi" w:eastAsiaTheme="minorHAnsi" w:hAnsiTheme="minorHAnsi"/>
          <w:color w:val="000000"/>
          <w:sz w:val="22"/>
          <w:szCs w:val="22"/>
          <w:lang w:eastAsia="en-US"/>
        </w:rPr>
        <w:t>e</w:t>
      </w:r>
      <w:r w:rsidR="00654DDD" w:rsidRPr="002D08EE">
        <w:rPr>
          <w:rFonts w:asciiTheme="minorHAnsi" w:eastAsiaTheme="minorHAnsi" w:hAnsiTheme="minorHAnsi"/>
          <w:color w:val="000000"/>
          <w:sz w:val="22"/>
          <w:szCs w:val="22"/>
          <w:lang w:eastAsia="en-US"/>
        </w:rPr>
        <w:t xml:space="preserve"> aj na uzavretie každého dodatku k Zmluve o poskytnutí NFP.</w:t>
      </w:r>
      <w:r w:rsidR="00654DDD">
        <w:rPr>
          <w:rFonts w:asciiTheme="minorHAnsi" w:eastAsiaTheme="minorHAnsi" w:hAnsiTheme="minorHAnsi"/>
          <w:color w:val="000000"/>
          <w:sz w:val="22"/>
          <w:szCs w:val="22"/>
          <w:lang w:eastAsia="en-US"/>
        </w:rPr>
        <w:t xml:space="preserve">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RO OP TP poskytne žiadateľovi lehotu na prijatie návrhu na uzavretie zmluvy o</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poskytnutí NFP (minimálne 5 pracovných dní).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Návrh na uzavretie zmluvy o poskytnutí NFP zaniká dňom uplynutia lehoty určenej v</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tomto návrhu alebo doručením prejavu žiadateľa o odmietnutí návrhu na uzavretie zmluvy o</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poskytnutí NFP. Žiadateľ je zároveň oprávnený rozhodnúť o nevyužití poskytnutej minimálnej lehoty na</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prijatie návrhu a o následnom prijatí/odmietnutí návrhu na uzavretie zmluvy o poskytnutí NFP. </w:t>
      </w:r>
    </w:p>
    <w:p w:rsidR="003F2A48" w:rsidRPr="002D08EE" w:rsidRDefault="003F2A48" w:rsidP="00150B3C">
      <w:pPr>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Žiadateľ </w:t>
      </w:r>
      <w:r w:rsidR="009C2C8A">
        <w:rPr>
          <w:rFonts w:asciiTheme="minorHAnsi" w:eastAsiaTheme="minorHAnsi" w:hAnsiTheme="minorHAnsi"/>
          <w:color w:val="000000"/>
          <w:sz w:val="22"/>
          <w:szCs w:val="22"/>
          <w:lang w:eastAsia="en-US"/>
        </w:rPr>
        <w:t>z</w:t>
      </w:r>
      <w:r w:rsidRPr="002D08EE">
        <w:rPr>
          <w:rFonts w:asciiTheme="minorHAnsi" w:eastAsiaTheme="minorHAnsi" w:hAnsiTheme="minorHAnsi"/>
          <w:color w:val="000000"/>
          <w:sz w:val="22"/>
          <w:szCs w:val="22"/>
          <w:lang w:eastAsia="en-US"/>
        </w:rPr>
        <w:t xml:space="preserve">ároveň zasiela na RO OP TP aj podpisový vzor, prípadne aj splnomocnenie, v dvoch rovnopisoch (vzor podpisového vzoru je zverejnený pri zmluve o NFP na webovom sídle RO OP TP </w:t>
      </w:r>
      <w:hyperlink r:id="rId23" w:history="1">
        <w:r w:rsidR="007775EB" w:rsidRPr="000B4FD4">
          <w:rPr>
            <w:rStyle w:val="Hypertextovprepojenie"/>
            <w:rFonts w:asciiTheme="minorHAnsi" w:eastAsiaTheme="minorHAnsi" w:hAnsiTheme="minorHAnsi"/>
            <w:sz w:val="22"/>
            <w:szCs w:val="22"/>
            <w:lang w:eastAsia="en-US"/>
          </w:rPr>
          <w:t>http://www.optp.vlada.gov.sk/ine-dokumenty/</w:t>
        </w:r>
      </w:hyperlink>
      <w:r w:rsidRPr="002D08EE">
        <w:rPr>
          <w:rFonts w:asciiTheme="minorHAnsi" w:eastAsiaTheme="minorHAnsi" w:hAnsiTheme="minorHAnsi"/>
          <w:color w:val="000000"/>
          <w:sz w:val="22"/>
          <w:szCs w:val="22"/>
          <w:lang w:eastAsia="en-US"/>
        </w:rPr>
        <w:t>). Deň doručenia prijatého návrhu na</w:t>
      </w:r>
      <w:r w:rsidR="00150B3C"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uzavretie zmluvy o poskytnutí NFP je dňom nadobudnutia platnosti a zároveň momentom uzavretia zmluvy.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 OP TP zabezpečí v súlade s ustanoveniami zákona o slobode informácií zverejnenie zmluvy o poskytnutí NFP v Centrálnom registri zmlúv. Deň nasledujúci po dni jej zverejnenia je deň účinnosti zmluvy o poskytnutí NFP a žiadateľ sa stáva prijímateľom.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Zároveň sú od tohto dňa obe zmluvné strany viazané ustanoveniami zmluvy o poskytnutí NFP, vrátane povinnosti RO OP TP oznámiť Prijímateľovi vhodným spôsobom nevzbudzujúcim pochybnosti (napr. listom alebo iným vhodným spôsobom v nadväznosti na</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zvolenú formu komunikácie medzi RO a Prijímateľom určenú v zmluve o poskytnutí NFP) nové znenie zmenených článkov zmluvy o poskytnutí NFP, ku ktorým došlo z dôvodu zmien v Systém riadenia EŠIF, Systém finančného riadenia a ostatných dokumentov, na ktoré sa zmluva o poskytnutí NFP odvoláva.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Zmeny projektov ako aj podmienky a spôsob ukončovania zmluvného vzťahu sú bližšie popísané v Príručke pre prijímateľa. </w:t>
      </w:r>
    </w:p>
    <w:p w:rsidR="003F2A48" w:rsidRPr="002D08EE" w:rsidRDefault="003F2A48" w:rsidP="00150B3C">
      <w:pPr>
        <w:autoSpaceDE w:val="0"/>
        <w:autoSpaceDN w:val="0"/>
        <w:adjustRightInd w:val="0"/>
        <w:spacing w:before="120" w:after="120"/>
        <w:ind w:firstLine="360"/>
        <w:rPr>
          <w:rFonts w:asciiTheme="minorHAnsi" w:eastAsiaTheme="minorHAnsi" w:hAnsiTheme="minorHAnsi"/>
          <w:color w:val="000000"/>
          <w:sz w:val="22"/>
          <w:szCs w:val="22"/>
          <w:u w:val="single"/>
          <w:lang w:eastAsia="en-US"/>
        </w:rPr>
      </w:pPr>
      <w:r w:rsidRPr="002D08EE">
        <w:rPr>
          <w:rFonts w:asciiTheme="minorHAnsi" w:eastAsiaTheme="minorHAnsi" w:hAnsiTheme="minorHAnsi"/>
          <w:b/>
          <w:bCs/>
          <w:color w:val="000000"/>
          <w:sz w:val="22"/>
          <w:szCs w:val="22"/>
          <w:u w:val="single"/>
          <w:lang w:eastAsia="en-US"/>
        </w:rPr>
        <w:t xml:space="preserve">Zverejňovanie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 zverejní na svojom webovom sídle </w:t>
      </w:r>
      <w:r w:rsidRPr="002D08EE">
        <w:rPr>
          <w:rFonts w:asciiTheme="minorHAnsi" w:eastAsiaTheme="minorHAnsi" w:hAnsiTheme="minorHAnsi"/>
          <w:b/>
          <w:bCs/>
          <w:color w:val="000000"/>
          <w:sz w:val="22"/>
          <w:szCs w:val="22"/>
          <w:lang w:eastAsia="en-US"/>
        </w:rPr>
        <w:t xml:space="preserve">do 60 pracovných dní </w:t>
      </w:r>
      <w:r w:rsidRPr="002D08EE">
        <w:rPr>
          <w:rFonts w:asciiTheme="minorHAnsi" w:eastAsiaTheme="minorHAnsi" w:hAnsiTheme="minorHAnsi"/>
          <w:color w:val="000000"/>
          <w:sz w:val="22"/>
          <w:szCs w:val="22"/>
          <w:lang w:eastAsia="en-US"/>
        </w:rPr>
        <w:t xml:space="preserve">od skončenia rozhodovania o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w:t>
      </w:r>
      <w:r w:rsidRPr="002D08EE">
        <w:rPr>
          <w:rFonts w:asciiTheme="minorHAnsi" w:eastAsiaTheme="minorHAnsi" w:hAnsiTheme="minorHAnsi"/>
          <w:b/>
          <w:bCs/>
          <w:color w:val="000000"/>
          <w:sz w:val="22"/>
          <w:szCs w:val="22"/>
          <w:lang w:eastAsia="en-US"/>
        </w:rPr>
        <w:t xml:space="preserve">zoznam schválených </w:t>
      </w:r>
      <w:proofErr w:type="spellStart"/>
      <w:r w:rsidRPr="002D08EE">
        <w:rPr>
          <w:rFonts w:asciiTheme="minorHAnsi" w:eastAsiaTheme="minorHAnsi" w:hAnsiTheme="minorHAnsi"/>
          <w:b/>
          <w:bCs/>
          <w:color w:val="000000"/>
          <w:sz w:val="22"/>
          <w:szCs w:val="22"/>
          <w:lang w:eastAsia="en-US"/>
        </w:rPr>
        <w:t>ŽoNFP</w:t>
      </w:r>
      <w:proofErr w:type="spellEnd"/>
      <w:r w:rsidRPr="002D08EE">
        <w:rPr>
          <w:rFonts w:asciiTheme="minorHAnsi" w:eastAsiaTheme="minorHAnsi" w:hAnsiTheme="minorHAnsi"/>
          <w:b/>
          <w:bCs/>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ktorý obsahuje: </w:t>
      </w:r>
    </w:p>
    <w:p w:rsidR="003F2A48" w:rsidRPr="002D08EE" w:rsidRDefault="003F2A48" w:rsidP="00150B3C">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 meno a priezvisko fyzickej osoby alebo obchodné meno a identifikačné číslo právnickej osoby, ktorá požiadala o poskytnutie príspevku, </w:t>
      </w:r>
    </w:p>
    <w:p w:rsidR="003F2A48" w:rsidRPr="002D08EE" w:rsidRDefault="003F2A48" w:rsidP="00150B3C">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b) názov projektu, </w:t>
      </w:r>
    </w:p>
    <w:p w:rsidR="003F2A48" w:rsidRPr="002D08EE" w:rsidRDefault="003F2A48" w:rsidP="00150B3C">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c) výšku schváleného príspevku, </w:t>
      </w:r>
    </w:p>
    <w:p w:rsidR="003F2A48" w:rsidRPr="002D08EE" w:rsidRDefault="003F2A48" w:rsidP="00150B3C">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d) zoznam odborných hodnotiteľov, v rozsahu titul, meno, priezvisko. </w:t>
      </w:r>
    </w:p>
    <w:p w:rsidR="003F2A48" w:rsidRPr="002D08EE" w:rsidRDefault="003F2A48" w:rsidP="00150B3C">
      <w:pPr>
        <w:autoSpaceDE w:val="0"/>
        <w:autoSpaceDN w:val="0"/>
        <w:adjustRightInd w:val="0"/>
        <w:spacing w:before="120" w:after="120"/>
        <w:ind w:firstLine="426"/>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RO zverejní na svojom webovom sídle do 60 pracovných dní od skončenia rozhodovania o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zoznam neschválených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ktorý obsahuje: </w:t>
      </w:r>
    </w:p>
    <w:p w:rsidR="003F2A48" w:rsidRPr="002D08EE" w:rsidRDefault="003F2A48" w:rsidP="00150B3C">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a) meno a priezvisko fyzickej osoby alebo obchodné meno a identifikačné číslo právnickej osoby, ktorá požiadala o poskytnutie príspevku, </w:t>
      </w:r>
    </w:p>
    <w:p w:rsidR="003F2A48" w:rsidRPr="002D08EE" w:rsidRDefault="003F2A48" w:rsidP="00150B3C">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b) názov projektu, </w:t>
      </w:r>
    </w:p>
    <w:p w:rsidR="003F2A48" w:rsidRPr="002D08EE" w:rsidRDefault="003F2A48" w:rsidP="00150B3C">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c) dôvody neschválenia žiadosti, </w:t>
      </w:r>
    </w:p>
    <w:p w:rsidR="003F2A48" w:rsidRPr="002D08EE" w:rsidRDefault="003F2A48" w:rsidP="00150B3C">
      <w:pPr>
        <w:autoSpaceDE w:val="0"/>
        <w:autoSpaceDN w:val="0"/>
        <w:adjustRightInd w:val="0"/>
        <w:spacing w:before="120" w:after="120"/>
        <w:ind w:left="709" w:hanging="283"/>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d) zoznam odborných hodnotiteľov, v rozsahu titul, meno, priezvisko. </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CKO na základe údajov získaných z ITMS 2014+ alebo v nevyhnutných prípadoch na</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základe žiadosti CKO poskytnutých od RO zverejňuje na svojom webovom sídle údaje o</w:t>
      </w:r>
      <w:r w:rsidR="00150B3C" w:rsidRPr="002D08EE">
        <w:rPr>
          <w:rFonts w:asciiTheme="minorHAnsi" w:eastAsiaTheme="minorHAnsi" w:hAnsiTheme="minorHAnsi"/>
          <w:color w:val="000000"/>
          <w:sz w:val="22"/>
          <w:szCs w:val="22"/>
          <w:lang w:eastAsia="en-US"/>
        </w:rPr>
        <w:t> </w:t>
      </w:r>
      <w:r w:rsidRPr="002D08EE">
        <w:rPr>
          <w:rFonts w:asciiTheme="minorHAnsi" w:eastAsiaTheme="minorHAnsi" w:hAnsiTheme="minorHAnsi"/>
          <w:color w:val="000000"/>
          <w:sz w:val="22"/>
          <w:szCs w:val="22"/>
          <w:lang w:eastAsia="en-US"/>
        </w:rPr>
        <w:t xml:space="preserve">zmluvách, ktoré nadobudli účinnosť a o právoplatných rozhodnutiach o schválení vydaných v prípadoch totožnosti RO a prijímateľa informácie podľa čl. 115 ods. 2 a ods. 1 prílohy XII všeobecného nariadenia. </w:t>
      </w:r>
    </w:p>
    <w:p w:rsidR="00CF2851" w:rsidRDefault="00CF2851">
      <w:pPr>
        <w:spacing w:after="200" w:line="276" w:lineRule="auto"/>
        <w:rPr>
          <w:rFonts w:asciiTheme="minorHAnsi" w:eastAsiaTheme="minorHAnsi" w:hAnsiTheme="minorHAnsi"/>
          <w:b/>
          <w:bCs/>
          <w:color w:val="000000"/>
          <w:sz w:val="22"/>
          <w:szCs w:val="22"/>
          <w:u w:val="single"/>
          <w:lang w:eastAsia="en-US"/>
        </w:rPr>
      </w:pPr>
      <w:r>
        <w:rPr>
          <w:rFonts w:asciiTheme="minorHAnsi" w:eastAsiaTheme="minorHAnsi" w:hAnsiTheme="minorHAnsi"/>
          <w:b/>
          <w:bCs/>
          <w:color w:val="000000"/>
          <w:sz w:val="22"/>
          <w:szCs w:val="22"/>
          <w:u w:val="single"/>
          <w:lang w:eastAsia="en-US"/>
        </w:rPr>
        <w:br w:type="page"/>
      </w:r>
    </w:p>
    <w:p w:rsidR="003F2A48" w:rsidRPr="002D08EE" w:rsidRDefault="003F2A48" w:rsidP="00150B3C">
      <w:pPr>
        <w:spacing w:before="120" w:after="120"/>
        <w:ind w:firstLine="360"/>
        <w:rPr>
          <w:rFonts w:asciiTheme="minorHAnsi" w:hAnsiTheme="minorHAnsi"/>
          <w:sz w:val="22"/>
          <w:szCs w:val="22"/>
          <w:u w:val="single"/>
        </w:rPr>
      </w:pPr>
      <w:r w:rsidRPr="002D08EE">
        <w:rPr>
          <w:rFonts w:asciiTheme="minorHAnsi" w:eastAsiaTheme="minorHAnsi" w:hAnsiTheme="minorHAnsi"/>
          <w:b/>
          <w:bCs/>
          <w:color w:val="000000"/>
          <w:sz w:val="22"/>
          <w:szCs w:val="22"/>
          <w:u w:val="single"/>
          <w:lang w:eastAsia="en-US"/>
        </w:rPr>
        <w:t>Synergické účinky medzi EŠIF</w:t>
      </w:r>
    </w:p>
    <w:p w:rsidR="003F2A48" w:rsidRPr="002D08EE" w:rsidRDefault="003F2A48" w:rsidP="00150B3C">
      <w:pPr>
        <w:autoSpaceDE w:val="0"/>
        <w:autoSpaceDN w:val="0"/>
        <w:adjustRightInd w:val="0"/>
        <w:spacing w:before="120" w:after="120"/>
        <w:ind w:firstLine="36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S cieľom maximalizovať prínos európskych štrukturálnych a investičných fondov je potrebné nadviazať aj na iné nástroje podpory EÚ a podporovať súčinnosť a účinnú koordináciu medzi všetkými dostupnými nástrojmi na európskej, národnej a miestnej úrovni. Z týchto dôvodov je možné kombinovať zdroje EŠIF s ďalšími nástrojmi podpory doplnkovým spôsobom. </w:t>
      </w:r>
    </w:p>
    <w:p w:rsidR="003F2A48" w:rsidRPr="002D08EE" w:rsidRDefault="003F2A48" w:rsidP="00150B3C">
      <w:pPr>
        <w:spacing w:before="120" w:after="120"/>
        <w:ind w:firstLine="360"/>
        <w:jc w:val="both"/>
        <w:rPr>
          <w:rFonts w:asciiTheme="minorHAnsi" w:hAnsiTheme="minorHAnsi"/>
          <w:sz w:val="22"/>
          <w:szCs w:val="22"/>
        </w:rPr>
      </w:pPr>
      <w:r w:rsidRPr="002D08EE">
        <w:rPr>
          <w:rFonts w:asciiTheme="minorHAnsi" w:eastAsiaTheme="minorHAnsi" w:hAnsiTheme="minorHAnsi"/>
          <w:color w:val="000000"/>
          <w:sz w:val="22"/>
          <w:szCs w:val="22"/>
          <w:lang w:eastAsia="en-US"/>
        </w:rPr>
        <w:t xml:space="preserve">Ku špecifickému cieľu 1: </w:t>
      </w:r>
      <w:r w:rsidR="00150B3C" w:rsidRPr="002D08EE">
        <w:rPr>
          <w:rFonts w:asciiTheme="minorHAnsi" w:hAnsiTheme="minorHAnsi"/>
          <w:sz w:val="22"/>
          <w:szCs w:val="22"/>
        </w:rPr>
        <w:t>Zabezpečiť stabilizáciu pracovníkov subjektov zapojených do systému riadenia, kontroly a auditu EŠIF</w:t>
      </w:r>
      <w:r w:rsidRPr="002D08EE">
        <w:rPr>
          <w:rFonts w:asciiTheme="minorHAnsi" w:eastAsiaTheme="minorHAnsi" w:hAnsiTheme="minorHAnsi"/>
          <w:color w:val="000000"/>
          <w:sz w:val="22"/>
          <w:szCs w:val="22"/>
          <w:lang w:eastAsia="en-US"/>
        </w:rPr>
        <w:t xml:space="preserve"> (v rámci ktorého je vyhlásené toto vyzvanie) boli identifikované (v rámci metodického pokynu CKO č. 11 k zabezpečeniu koordinácie synergických účinkov medzi EŠIF a inými nástrojmi podpory EÚ a SR) nasledujúce synergie:</w:t>
      </w: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3F2A48" w:rsidRPr="00963010" w:rsidTr="003F2A48">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TP</w:t>
            </w:r>
          </w:p>
        </w:tc>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ĽZ</w:t>
            </w:r>
          </w:p>
        </w:tc>
      </w:tr>
      <w:tr w:rsidR="003F2A48" w:rsidRPr="00963010" w:rsidTr="003F2A48">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1</w:t>
            </w:r>
          </w:p>
        </w:tc>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7</w:t>
            </w:r>
          </w:p>
        </w:tc>
      </w:tr>
      <w:tr w:rsidR="003F2A48" w:rsidRPr="00963010" w:rsidTr="003F2A48">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Špecifický cieľ: 1</w:t>
            </w:r>
          </w:p>
        </w:tc>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Špecifický cieľ: 7.1</w:t>
            </w:r>
          </w:p>
        </w:tc>
      </w:tr>
      <w:tr w:rsidR="003F2A48" w:rsidRPr="00963010" w:rsidTr="003F2A48">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TP</w:t>
            </w:r>
          </w:p>
        </w:tc>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 xml:space="preserve">OP </w:t>
            </w:r>
            <w:proofErr w:type="spellStart"/>
            <w:r w:rsidRPr="002D08EE">
              <w:rPr>
                <w:rFonts w:asciiTheme="minorHAnsi" w:hAnsiTheme="minorHAnsi"/>
                <w:b/>
                <w:sz w:val="22"/>
                <w:szCs w:val="22"/>
              </w:rPr>
              <w:t>VaI</w:t>
            </w:r>
            <w:proofErr w:type="spellEnd"/>
          </w:p>
        </w:tc>
      </w:tr>
      <w:tr w:rsidR="003F2A48" w:rsidRPr="00963010" w:rsidTr="003F2A48">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1</w:t>
            </w:r>
          </w:p>
        </w:tc>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5</w:t>
            </w:r>
          </w:p>
        </w:tc>
      </w:tr>
      <w:tr w:rsidR="003F2A48" w:rsidRPr="00963010" w:rsidTr="003F2A48">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Špecifický cieľ: 1</w:t>
            </w:r>
          </w:p>
        </w:tc>
        <w:tc>
          <w:tcPr>
            <w:tcW w:w="4606" w:type="dxa"/>
            <w:shd w:val="clear" w:color="auto" w:fill="auto"/>
          </w:tcPr>
          <w:p w:rsidR="003F2A48" w:rsidRPr="002D08EE" w:rsidRDefault="003F2A48">
            <w:pPr>
              <w:spacing w:before="120" w:after="120"/>
              <w:jc w:val="both"/>
              <w:rPr>
                <w:rFonts w:asciiTheme="minorHAnsi" w:hAnsiTheme="minorHAnsi"/>
                <w:sz w:val="22"/>
                <w:szCs w:val="22"/>
              </w:rPr>
            </w:pPr>
            <w:r w:rsidRPr="002D08EE">
              <w:rPr>
                <w:rFonts w:asciiTheme="minorHAnsi" w:hAnsiTheme="minorHAnsi"/>
                <w:sz w:val="22"/>
                <w:szCs w:val="22"/>
              </w:rPr>
              <w:t>Špecifický cieľ: 5.1.1</w:t>
            </w:r>
          </w:p>
        </w:tc>
      </w:tr>
      <w:tr w:rsidR="003F2A48" w:rsidRPr="00963010" w:rsidTr="003F2A48">
        <w:tc>
          <w:tcPr>
            <w:tcW w:w="4606" w:type="dxa"/>
            <w:tcBorders>
              <w:bottom w:val="dotted" w:sz="4" w:space="0" w:color="002060"/>
            </w:tcBorders>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TP</w:t>
            </w:r>
          </w:p>
        </w:tc>
        <w:tc>
          <w:tcPr>
            <w:tcW w:w="4606" w:type="dxa"/>
            <w:tcBorders>
              <w:bottom w:val="dotted" w:sz="4" w:space="0" w:color="002060"/>
            </w:tcBorders>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KŽP</w:t>
            </w:r>
          </w:p>
        </w:tc>
      </w:tr>
      <w:tr w:rsidR="003F2A48" w:rsidRPr="00963010" w:rsidTr="003F2A48">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1</w:t>
            </w:r>
          </w:p>
        </w:tc>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5</w:t>
            </w:r>
          </w:p>
        </w:tc>
      </w:tr>
      <w:tr w:rsidR="003F2A48" w:rsidRPr="00963010" w:rsidTr="003F2A48">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Špecifický cieľ: 1</w:t>
            </w:r>
          </w:p>
        </w:tc>
        <w:tc>
          <w:tcPr>
            <w:tcW w:w="4606" w:type="dxa"/>
            <w:shd w:val="clear" w:color="auto" w:fill="auto"/>
          </w:tcPr>
          <w:p w:rsidR="003F2A48" w:rsidRPr="002D08EE" w:rsidRDefault="003F2A48">
            <w:pPr>
              <w:spacing w:before="120" w:after="120"/>
              <w:jc w:val="both"/>
              <w:rPr>
                <w:rFonts w:asciiTheme="minorHAnsi" w:hAnsiTheme="minorHAnsi"/>
                <w:sz w:val="22"/>
                <w:szCs w:val="22"/>
              </w:rPr>
            </w:pPr>
            <w:r w:rsidRPr="002D08EE">
              <w:rPr>
                <w:rFonts w:asciiTheme="minorHAnsi" w:hAnsiTheme="minorHAnsi"/>
                <w:sz w:val="22"/>
                <w:szCs w:val="22"/>
              </w:rPr>
              <w:t>Špecifický cieľ: 5.1.1</w:t>
            </w:r>
          </w:p>
        </w:tc>
      </w:tr>
      <w:tr w:rsidR="003F2A48" w:rsidRPr="00963010" w:rsidTr="003F2A48">
        <w:tc>
          <w:tcPr>
            <w:tcW w:w="4606" w:type="dxa"/>
            <w:tcBorders>
              <w:bottom w:val="dotted" w:sz="4" w:space="0" w:color="002060"/>
            </w:tcBorders>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TP</w:t>
            </w:r>
          </w:p>
        </w:tc>
        <w:tc>
          <w:tcPr>
            <w:tcW w:w="4606" w:type="dxa"/>
            <w:tcBorders>
              <w:bottom w:val="dotted" w:sz="4" w:space="0" w:color="002060"/>
            </w:tcBorders>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II</w:t>
            </w:r>
          </w:p>
        </w:tc>
      </w:tr>
      <w:tr w:rsidR="003F2A48" w:rsidRPr="00963010" w:rsidTr="003F2A48">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1</w:t>
            </w:r>
          </w:p>
        </w:tc>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8</w:t>
            </w:r>
          </w:p>
        </w:tc>
      </w:tr>
      <w:tr w:rsidR="003F2A48" w:rsidRPr="00963010" w:rsidTr="003F2A48">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Špecifický cieľ: 1</w:t>
            </w:r>
          </w:p>
        </w:tc>
        <w:tc>
          <w:tcPr>
            <w:tcW w:w="4606" w:type="dxa"/>
            <w:shd w:val="clear" w:color="auto" w:fill="auto"/>
          </w:tcPr>
          <w:p w:rsidR="003F2A48" w:rsidRPr="002D08EE" w:rsidRDefault="003F2A48">
            <w:pPr>
              <w:spacing w:before="120" w:after="120"/>
              <w:jc w:val="both"/>
              <w:rPr>
                <w:rFonts w:asciiTheme="minorHAnsi" w:hAnsiTheme="minorHAnsi"/>
                <w:sz w:val="22"/>
                <w:szCs w:val="22"/>
              </w:rPr>
            </w:pPr>
            <w:r w:rsidRPr="002D08EE">
              <w:rPr>
                <w:rFonts w:asciiTheme="minorHAnsi" w:hAnsiTheme="minorHAnsi"/>
                <w:sz w:val="22"/>
                <w:szCs w:val="22"/>
              </w:rPr>
              <w:t>Špecifický cieľ: 8.1</w:t>
            </w:r>
          </w:p>
        </w:tc>
      </w:tr>
      <w:tr w:rsidR="003F2A48" w:rsidRPr="00963010" w:rsidTr="003F2A48">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TP</w:t>
            </w:r>
          </w:p>
        </w:tc>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IROP</w:t>
            </w:r>
          </w:p>
        </w:tc>
      </w:tr>
      <w:tr w:rsidR="003F2A48" w:rsidRPr="00963010" w:rsidTr="003F2A48">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1</w:t>
            </w:r>
          </w:p>
        </w:tc>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6</w:t>
            </w:r>
          </w:p>
        </w:tc>
      </w:tr>
      <w:tr w:rsidR="003F2A48" w:rsidRPr="00963010" w:rsidTr="003F2A48">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Špecifický cieľ: 1</w:t>
            </w:r>
          </w:p>
        </w:tc>
        <w:tc>
          <w:tcPr>
            <w:tcW w:w="4606" w:type="dxa"/>
            <w:shd w:val="clear" w:color="auto" w:fill="auto"/>
          </w:tcPr>
          <w:p w:rsidR="003F2A48" w:rsidRPr="002D08EE" w:rsidRDefault="003F2A48">
            <w:pPr>
              <w:spacing w:before="120" w:after="120"/>
              <w:jc w:val="both"/>
              <w:rPr>
                <w:rFonts w:asciiTheme="minorHAnsi" w:hAnsiTheme="minorHAnsi"/>
                <w:sz w:val="22"/>
                <w:szCs w:val="22"/>
              </w:rPr>
            </w:pPr>
            <w:r w:rsidRPr="002D08EE">
              <w:rPr>
                <w:rFonts w:asciiTheme="minorHAnsi" w:hAnsiTheme="minorHAnsi"/>
                <w:sz w:val="22"/>
                <w:szCs w:val="22"/>
              </w:rPr>
              <w:t>Špecifický cieľ: 6.1</w:t>
            </w:r>
          </w:p>
        </w:tc>
      </w:tr>
      <w:tr w:rsidR="003F2A48" w:rsidRPr="00963010" w:rsidTr="003F2A48">
        <w:trPr>
          <w:tblHeader/>
        </w:trPr>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TP</w:t>
            </w:r>
          </w:p>
        </w:tc>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EVS</w:t>
            </w:r>
          </w:p>
        </w:tc>
      </w:tr>
      <w:tr w:rsidR="003F2A48" w:rsidRPr="00963010" w:rsidTr="003F2A48">
        <w:tc>
          <w:tcPr>
            <w:tcW w:w="4606" w:type="dxa"/>
            <w:shd w:val="clear" w:color="auto" w:fill="DBE5F1" w:themeFill="accent1" w:themeFillTint="33"/>
          </w:tcPr>
          <w:p w:rsidR="003F2A48" w:rsidRPr="002D08EE" w:rsidRDefault="003F2A48" w:rsidP="00727285">
            <w:pPr>
              <w:spacing w:before="120" w:after="120"/>
              <w:jc w:val="both"/>
              <w:rPr>
                <w:rFonts w:asciiTheme="minorHAnsi" w:hAnsiTheme="minorHAnsi"/>
                <w:sz w:val="22"/>
                <w:szCs w:val="22"/>
              </w:rPr>
            </w:pPr>
          </w:p>
        </w:tc>
        <w:tc>
          <w:tcPr>
            <w:tcW w:w="4606" w:type="dxa"/>
            <w:shd w:val="clear" w:color="auto" w:fill="DBE5F1" w:themeFill="accent1" w:themeFillTint="33"/>
          </w:tcPr>
          <w:p w:rsidR="003F2A48" w:rsidRPr="002D08EE" w:rsidRDefault="003F2A48" w:rsidP="00727285">
            <w:pPr>
              <w:spacing w:before="120" w:after="120"/>
              <w:jc w:val="both"/>
              <w:rPr>
                <w:rFonts w:asciiTheme="minorHAnsi" w:hAnsiTheme="minorHAnsi"/>
                <w:sz w:val="22"/>
                <w:szCs w:val="22"/>
              </w:rPr>
            </w:pPr>
          </w:p>
        </w:tc>
      </w:tr>
      <w:tr w:rsidR="003F2A48" w:rsidRPr="00963010" w:rsidTr="003F2A48">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1</w:t>
            </w:r>
          </w:p>
        </w:tc>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3</w:t>
            </w:r>
          </w:p>
        </w:tc>
      </w:tr>
      <w:tr w:rsidR="003F2A48" w:rsidRPr="00963010" w:rsidTr="003F2A48">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Špecifický cieľ: 1</w:t>
            </w:r>
          </w:p>
        </w:tc>
        <w:tc>
          <w:tcPr>
            <w:tcW w:w="4606" w:type="dxa"/>
            <w:shd w:val="clear" w:color="auto" w:fill="auto"/>
          </w:tcPr>
          <w:p w:rsidR="003F2A48" w:rsidRPr="002D08EE" w:rsidRDefault="003F2A48">
            <w:pPr>
              <w:spacing w:before="120" w:after="120"/>
              <w:jc w:val="both"/>
              <w:rPr>
                <w:rFonts w:asciiTheme="minorHAnsi" w:hAnsiTheme="minorHAnsi"/>
                <w:sz w:val="22"/>
                <w:szCs w:val="22"/>
              </w:rPr>
            </w:pPr>
            <w:r w:rsidRPr="002D08EE">
              <w:rPr>
                <w:rFonts w:asciiTheme="minorHAnsi" w:hAnsiTheme="minorHAnsi"/>
                <w:sz w:val="22"/>
                <w:szCs w:val="22"/>
              </w:rPr>
              <w:t>Špecifický cieľ: 3.1</w:t>
            </w:r>
          </w:p>
        </w:tc>
      </w:tr>
    </w:tbl>
    <w:p w:rsidR="003F2A48" w:rsidRDefault="003F2A48" w:rsidP="00727285">
      <w:pPr>
        <w:spacing w:before="120" w:after="120"/>
        <w:jc w:val="both"/>
        <w:rPr>
          <w:rFonts w:asciiTheme="minorHAnsi" w:hAnsiTheme="minorHAnsi"/>
          <w:sz w:val="22"/>
          <w:szCs w:val="22"/>
        </w:rPr>
      </w:pPr>
    </w:p>
    <w:p w:rsidR="002D08EE" w:rsidRPr="002D08EE" w:rsidRDefault="002D08EE" w:rsidP="00727285">
      <w:pPr>
        <w:spacing w:before="120" w:after="120"/>
        <w:jc w:val="both"/>
        <w:rPr>
          <w:rFonts w:asciiTheme="minorHAnsi" w:hAnsiTheme="minorHAnsi"/>
          <w:sz w:val="22"/>
          <w:szCs w:val="22"/>
        </w:rPr>
      </w:pPr>
    </w:p>
    <w:tbl>
      <w:tblPr>
        <w:tblStyle w:val="Mriekatabuky"/>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4606"/>
        <w:gridCol w:w="4606"/>
      </w:tblGrid>
      <w:tr w:rsidR="003F2A48" w:rsidRPr="00963010" w:rsidTr="003F2A48">
        <w:trPr>
          <w:tblHeader/>
        </w:trPr>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TP</w:t>
            </w:r>
          </w:p>
        </w:tc>
        <w:tc>
          <w:tcPr>
            <w:tcW w:w="4606" w:type="dxa"/>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PRV</w:t>
            </w:r>
          </w:p>
        </w:tc>
      </w:tr>
      <w:tr w:rsidR="003F2A48" w:rsidRPr="00963010" w:rsidTr="003F2A48">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1</w:t>
            </w:r>
          </w:p>
        </w:tc>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Kap. 7 Zdroje</w:t>
            </w:r>
          </w:p>
        </w:tc>
      </w:tr>
      <w:tr w:rsidR="003F2A48" w:rsidRPr="00963010" w:rsidTr="003F2A48">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Špecifický cieľ: 1</w:t>
            </w:r>
          </w:p>
        </w:tc>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Administratívne kapacity, údaje, Budovanie kapacity monitorovania a hodnotenia</w:t>
            </w:r>
          </w:p>
        </w:tc>
      </w:tr>
      <w:tr w:rsidR="003F2A48" w:rsidRPr="00963010" w:rsidTr="003F2A48">
        <w:trPr>
          <w:tblHeader/>
        </w:trPr>
        <w:tc>
          <w:tcPr>
            <w:tcW w:w="4606" w:type="dxa"/>
            <w:tcBorders>
              <w:bottom w:val="dotted" w:sz="4" w:space="0" w:color="002060"/>
            </w:tcBorders>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TP</w:t>
            </w:r>
          </w:p>
        </w:tc>
        <w:tc>
          <w:tcPr>
            <w:tcW w:w="4606" w:type="dxa"/>
            <w:tcBorders>
              <w:bottom w:val="dotted" w:sz="4" w:space="0" w:color="002060"/>
            </w:tcBorders>
            <w:shd w:val="clear" w:color="auto" w:fill="002060"/>
            <w:vAlign w:val="center"/>
          </w:tcPr>
          <w:p w:rsidR="003F2A48" w:rsidRPr="002D08EE" w:rsidRDefault="003F2A48" w:rsidP="00727285">
            <w:pPr>
              <w:spacing w:before="120" w:after="120"/>
              <w:jc w:val="center"/>
              <w:rPr>
                <w:rFonts w:asciiTheme="minorHAnsi" w:hAnsiTheme="minorHAnsi"/>
                <w:b/>
                <w:sz w:val="22"/>
                <w:szCs w:val="22"/>
              </w:rPr>
            </w:pPr>
            <w:r w:rsidRPr="002D08EE">
              <w:rPr>
                <w:rFonts w:asciiTheme="minorHAnsi" w:hAnsiTheme="minorHAnsi"/>
                <w:b/>
                <w:sz w:val="22"/>
                <w:szCs w:val="22"/>
              </w:rPr>
              <w:t>OP RH</w:t>
            </w:r>
          </w:p>
        </w:tc>
      </w:tr>
      <w:tr w:rsidR="003F2A48" w:rsidRPr="00963010" w:rsidTr="003F2A48">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Prioritná os: 1</w:t>
            </w:r>
          </w:p>
        </w:tc>
        <w:tc>
          <w:tcPr>
            <w:tcW w:w="4606" w:type="dxa"/>
            <w:shd w:val="clear" w:color="auto" w:fill="95B3D7" w:themeFill="accent1" w:themeFillTint="99"/>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Čl. 78 nariadenia o ENRF</w:t>
            </w:r>
          </w:p>
        </w:tc>
      </w:tr>
      <w:tr w:rsidR="003F2A48" w:rsidRPr="00963010" w:rsidTr="003F2A48">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Špecifický cieľ: 1</w:t>
            </w:r>
          </w:p>
        </w:tc>
        <w:tc>
          <w:tcPr>
            <w:tcW w:w="4606" w:type="dxa"/>
            <w:shd w:val="clear" w:color="auto" w:fill="auto"/>
          </w:tcPr>
          <w:p w:rsidR="003F2A48" w:rsidRPr="002D08EE" w:rsidRDefault="003F2A48" w:rsidP="00727285">
            <w:pPr>
              <w:spacing w:before="120" w:after="120"/>
              <w:jc w:val="both"/>
              <w:rPr>
                <w:rFonts w:asciiTheme="minorHAnsi" w:hAnsiTheme="minorHAnsi"/>
                <w:sz w:val="22"/>
                <w:szCs w:val="22"/>
              </w:rPr>
            </w:pPr>
            <w:r w:rsidRPr="002D08EE">
              <w:rPr>
                <w:rFonts w:asciiTheme="minorHAnsi" w:hAnsiTheme="minorHAnsi"/>
                <w:sz w:val="22"/>
                <w:szCs w:val="22"/>
              </w:rPr>
              <w:t>Zameranie: A, C</w:t>
            </w:r>
          </w:p>
        </w:tc>
      </w:tr>
    </w:tbl>
    <w:p w:rsidR="003F2A48" w:rsidRPr="002D08EE" w:rsidRDefault="00FD12A8" w:rsidP="00150B3C">
      <w:pPr>
        <w:spacing w:before="120" w:after="120"/>
        <w:ind w:firstLine="360"/>
        <w:jc w:val="both"/>
        <w:rPr>
          <w:rFonts w:asciiTheme="minorHAnsi" w:hAnsiTheme="minorHAnsi"/>
          <w:sz w:val="22"/>
          <w:szCs w:val="22"/>
        </w:rPr>
      </w:pPr>
      <w:r w:rsidRPr="002D08EE">
        <w:rPr>
          <w:rFonts w:asciiTheme="minorHAnsi" w:hAnsiTheme="minorHAnsi"/>
          <w:sz w:val="22"/>
          <w:szCs w:val="22"/>
        </w:rPr>
        <w:t>Bližšie informácie k synergickým a komplementárnym účinkom je možné získať na</w:t>
      </w:r>
      <w:r w:rsidR="00150B3C" w:rsidRPr="002D08EE">
        <w:rPr>
          <w:rFonts w:asciiTheme="minorHAnsi" w:hAnsiTheme="minorHAnsi"/>
          <w:sz w:val="22"/>
          <w:szCs w:val="22"/>
        </w:rPr>
        <w:t> </w:t>
      </w:r>
      <w:r w:rsidRPr="002D08EE">
        <w:rPr>
          <w:rFonts w:asciiTheme="minorHAnsi" w:hAnsiTheme="minorHAnsi"/>
          <w:sz w:val="22"/>
          <w:szCs w:val="22"/>
        </w:rPr>
        <w:t xml:space="preserve">webovom sídle </w:t>
      </w:r>
      <w:hyperlink r:id="rId24" w:history="1">
        <w:r w:rsidR="007775EB" w:rsidRPr="000B4FD4">
          <w:rPr>
            <w:rStyle w:val="Hypertextovprepojenie"/>
          </w:rPr>
          <w:t>http://www.partnerskadohoda.gov.sk/273-sk/koordinacia-synergii-a-komplementarit-medzi-esif-a-ostatnymi-nastrojmi-podpory-eu-a-sr/</w:t>
        </w:r>
      </w:hyperlink>
      <w:r w:rsidR="007775EB">
        <w:t xml:space="preserve"> </w:t>
      </w:r>
      <w:r w:rsidRPr="002D08EE">
        <w:rPr>
          <w:rFonts w:asciiTheme="minorHAnsi" w:hAnsiTheme="minorHAnsi"/>
          <w:sz w:val="22"/>
          <w:szCs w:val="22"/>
        </w:rPr>
        <w:t xml:space="preserve">a v rámci jednotného informačného systému Európskej komisie, ktorý je dostupný na webovom sídle </w:t>
      </w:r>
      <w:hyperlink r:id="rId25" w:history="1">
        <w:r w:rsidR="00150B3C" w:rsidRPr="002D08EE">
          <w:rPr>
            <w:rStyle w:val="Hypertextovprepojenie"/>
            <w:rFonts w:asciiTheme="minorHAnsi" w:hAnsiTheme="minorHAnsi"/>
            <w:sz w:val="22"/>
            <w:szCs w:val="22"/>
          </w:rPr>
          <w:t>http://www.ecas.org/</w:t>
        </w:r>
      </w:hyperlink>
      <w:r w:rsidRPr="002D08EE">
        <w:rPr>
          <w:rFonts w:asciiTheme="minorHAnsi" w:hAnsiTheme="minorHAnsi"/>
          <w:sz w:val="22"/>
          <w:szCs w:val="22"/>
        </w:rPr>
        <w:t>.</w:t>
      </w:r>
    </w:p>
    <w:p w:rsidR="00150B3C" w:rsidRPr="002D08EE" w:rsidRDefault="00150B3C" w:rsidP="00150B3C">
      <w:pPr>
        <w:spacing w:before="120" w:after="120"/>
        <w:ind w:firstLine="360"/>
        <w:jc w:val="both"/>
        <w:rPr>
          <w:rFonts w:asciiTheme="minorHAnsi" w:hAnsiTheme="minorHAnsi"/>
          <w:sz w:val="22"/>
          <w:szCs w:val="22"/>
        </w:rPr>
      </w:pPr>
      <w:bookmarkStart w:id="0" w:name="_GoBack"/>
      <w:bookmarkEnd w:id="0"/>
    </w:p>
    <w:p w:rsidR="006829FC" w:rsidRPr="002D08EE" w:rsidRDefault="006829FC" w:rsidP="00727285">
      <w:pPr>
        <w:pStyle w:val="Odsekzoznamu"/>
        <w:numPr>
          <w:ilvl w:val="0"/>
          <w:numId w:val="1"/>
        </w:numPr>
        <w:pBdr>
          <w:top w:val="single" w:sz="4" w:space="1" w:color="auto"/>
          <w:left w:val="single" w:sz="4" w:space="4" w:color="auto"/>
          <w:bottom w:val="single" w:sz="4" w:space="1" w:color="auto"/>
          <w:right w:val="single" w:sz="4" w:space="4" w:color="auto"/>
        </w:pBdr>
        <w:shd w:val="clear" w:color="auto" w:fill="CCC0D9" w:themeFill="accent4" w:themeFillTint="66"/>
        <w:spacing w:before="120" w:after="120"/>
        <w:jc w:val="center"/>
        <w:rPr>
          <w:b/>
          <w:sz w:val="28"/>
          <w:szCs w:val="28"/>
        </w:rPr>
      </w:pPr>
      <w:r w:rsidRPr="002D08EE">
        <w:rPr>
          <w:b/>
          <w:sz w:val="28"/>
          <w:szCs w:val="28"/>
        </w:rPr>
        <w:t>Zmena a zrušenie v</w:t>
      </w:r>
      <w:r w:rsidR="00727285" w:rsidRPr="002D08EE">
        <w:rPr>
          <w:b/>
          <w:sz w:val="28"/>
          <w:szCs w:val="28"/>
        </w:rPr>
        <w:t>y</w:t>
      </w:r>
      <w:r w:rsidRPr="002D08EE">
        <w:rPr>
          <w:b/>
          <w:sz w:val="28"/>
          <w:szCs w:val="28"/>
        </w:rPr>
        <w:t>zv</w:t>
      </w:r>
      <w:r w:rsidR="00727285" w:rsidRPr="002D08EE">
        <w:rPr>
          <w:b/>
          <w:sz w:val="28"/>
          <w:szCs w:val="28"/>
        </w:rPr>
        <w:t>ania</w:t>
      </w:r>
    </w:p>
    <w:p w:rsidR="00150B3C" w:rsidRPr="002D08EE" w:rsidRDefault="00150B3C" w:rsidP="00727285">
      <w:pPr>
        <w:spacing w:before="120" w:after="120"/>
        <w:jc w:val="both"/>
        <w:rPr>
          <w:rFonts w:asciiTheme="minorHAnsi" w:hAnsiTheme="minorHAnsi"/>
          <w:sz w:val="22"/>
          <w:szCs w:val="22"/>
        </w:rPr>
      </w:pPr>
    </w:p>
    <w:p w:rsidR="006829FC" w:rsidRPr="002D08EE" w:rsidRDefault="00FD12A8" w:rsidP="00150B3C">
      <w:pPr>
        <w:spacing w:before="120" w:after="120"/>
        <w:ind w:firstLine="360"/>
        <w:jc w:val="both"/>
        <w:rPr>
          <w:rFonts w:asciiTheme="minorHAnsi" w:hAnsiTheme="minorHAnsi"/>
          <w:sz w:val="22"/>
          <w:szCs w:val="22"/>
        </w:rPr>
      </w:pPr>
      <w:r w:rsidRPr="002D08EE">
        <w:rPr>
          <w:rFonts w:asciiTheme="minorHAnsi" w:hAnsiTheme="minorHAnsi"/>
          <w:sz w:val="22"/>
          <w:szCs w:val="22"/>
        </w:rPr>
        <w:t>Zmena a zrušenie vyzvania môžu byť vykonané v súlade s postupom uvedeným v § 17 ods. 6 až 8 zákona o príspevku z EŠIF. Vzhľadom na charakter projektov technickej pomoci a s ohľadom na skutočnosť, že v rámci výberu týchto projektov nedochádza k súťaži, sa neaplikujú ustanovenia kapitoly 3.1.1.1 Systému riadenia EŠIF a posúdenie charakteru zmeny vyzvania je vždy na individuálnom posúdení RO s ohľadom na dopad navrhovanej zmeny na</w:t>
      </w:r>
      <w:r w:rsidR="00150B3C" w:rsidRPr="002D08EE">
        <w:rPr>
          <w:rFonts w:asciiTheme="minorHAnsi" w:hAnsiTheme="minorHAnsi"/>
          <w:sz w:val="22"/>
          <w:szCs w:val="22"/>
        </w:rPr>
        <w:t> </w:t>
      </w:r>
      <w:r w:rsidRPr="002D08EE">
        <w:rPr>
          <w:rFonts w:asciiTheme="minorHAnsi" w:hAnsiTheme="minorHAnsi"/>
          <w:sz w:val="22"/>
          <w:szCs w:val="22"/>
        </w:rPr>
        <w:t>žiadateľa.</w:t>
      </w:r>
    </w:p>
    <w:p w:rsidR="00150B3C" w:rsidRPr="002D08EE" w:rsidRDefault="00150B3C" w:rsidP="00150B3C">
      <w:pPr>
        <w:spacing w:before="120" w:after="120"/>
        <w:ind w:firstLine="360"/>
        <w:jc w:val="both"/>
        <w:rPr>
          <w:rFonts w:asciiTheme="minorHAnsi" w:hAnsiTheme="minorHAnsi"/>
          <w:sz w:val="22"/>
          <w:szCs w:val="22"/>
        </w:rPr>
      </w:pPr>
    </w:p>
    <w:p w:rsidR="006829FC" w:rsidRPr="002D08EE" w:rsidRDefault="006829FC" w:rsidP="00727285">
      <w:pPr>
        <w:pStyle w:val="Odsekzoznamu"/>
        <w:numPr>
          <w:ilvl w:val="0"/>
          <w:numId w:val="1"/>
        </w:numPr>
        <w:pBdr>
          <w:top w:val="single" w:sz="4" w:space="1" w:color="auto"/>
          <w:left w:val="single" w:sz="4" w:space="4" w:color="auto"/>
          <w:bottom w:val="single" w:sz="4" w:space="1" w:color="auto"/>
          <w:right w:val="single" w:sz="4" w:space="4" w:color="auto"/>
        </w:pBdr>
        <w:shd w:val="clear" w:color="auto" w:fill="CCC0D9" w:themeFill="accent4" w:themeFillTint="66"/>
        <w:spacing w:before="120" w:after="120"/>
        <w:jc w:val="center"/>
        <w:rPr>
          <w:b/>
          <w:sz w:val="28"/>
          <w:szCs w:val="28"/>
        </w:rPr>
      </w:pPr>
      <w:r w:rsidRPr="002D08EE">
        <w:rPr>
          <w:b/>
          <w:sz w:val="28"/>
          <w:szCs w:val="28"/>
        </w:rPr>
        <w:t>Prílohy v</w:t>
      </w:r>
      <w:r w:rsidR="00727285" w:rsidRPr="002D08EE">
        <w:rPr>
          <w:b/>
          <w:sz w:val="28"/>
          <w:szCs w:val="28"/>
        </w:rPr>
        <w:t>y</w:t>
      </w:r>
      <w:r w:rsidRPr="002D08EE">
        <w:rPr>
          <w:b/>
          <w:sz w:val="28"/>
          <w:szCs w:val="28"/>
        </w:rPr>
        <w:t>zv</w:t>
      </w:r>
      <w:r w:rsidR="00727285" w:rsidRPr="002D08EE">
        <w:rPr>
          <w:b/>
          <w:sz w:val="28"/>
          <w:szCs w:val="28"/>
        </w:rPr>
        <w:t>ania</w:t>
      </w:r>
    </w:p>
    <w:p w:rsidR="006829FC" w:rsidRPr="002D08EE" w:rsidRDefault="006829FC" w:rsidP="00727285">
      <w:pPr>
        <w:pStyle w:val="Odsekzoznamu"/>
        <w:spacing w:before="120" w:after="120"/>
        <w:jc w:val="both"/>
        <w:rPr>
          <w:rFonts w:asciiTheme="minorHAnsi" w:hAnsiTheme="minorHAnsi"/>
          <w:bCs/>
          <w:iCs/>
          <w:sz w:val="22"/>
          <w:szCs w:val="22"/>
        </w:rPr>
      </w:pPr>
    </w:p>
    <w:p w:rsidR="006829FC" w:rsidRPr="002D08EE" w:rsidRDefault="006829FC" w:rsidP="00727285">
      <w:pPr>
        <w:pStyle w:val="Odsekzoznamu"/>
        <w:numPr>
          <w:ilvl w:val="0"/>
          <w:numId w:val="4"/>
        </w:numPr>
        <w:spacing w:before="120" w:after="120"/>
        <w:jc w:val="both"/>
        <w:rPr>
          <w:rFonts w:asciiTheme="minorHAnsi" w:hAnsiTheme="minorHAnsi"/>
          <w:bCs/>
          <w:iCs/>
          <w:sz w:val="22"/>
          <w:szCs w:val="22"/>
        </w:rPr>
      </w:pPr>
      <w:r w:rsidRPr="002D08EE">
        <w:rPr>
          <w:rFonts w:asciiTheme="minorHAnsi" w:hAnsiTheme="minorHAnsi"/>
          <w:bCs/>
          <w:iCs/>
          <w:sz w:val="22"/>
          <w:szCs w:val="22"/>
        </w:rPr>
        <w:t xml:space="preserve">Formulár </w:t>
      </w:r>
      <w:proofErr w:type="spellStart"/>
      <w:r w:rsidR="00A71778" w:rsidRPr="002D08EE">
        <w:rPr>
          <w:rFonts w:asciiTheme="minorHAnsi" w:hAnsiTheme="minorHAnsi"/>
          <w:bCs/>
          <w:iCs/>
          <w:sz w:val="22"/>
          <w:szCs w:val="22"/>
        </w:rPr>
        <w:t>Žo</w:t>
      </w:r>
      <w:r w:rsidR="003A44D9" w:rsidRPr="002D08EE">
        <w:rPr>
          <w:rFonts w:asciiTheme="minorHAnsi" w:hAnsiTheme="minorHAnsi"/>
          <w:bCs/>
          <w:iCs/>
          <w:sz w:val="22"/>
          <w:szCs w:val="22"/>
        </w:rPr>
        <w:t>NFP</w:t>
      </w:r>
      <w:proofErr w:type="spellEnd"/>
      <w:r w:rsidR="003A44D9" w:rsidRPr="00963010">
        <w:rPr>
          <w:rFonts w:asciiTheme="minorHAnsi" w:hAnsiTheme="minorHAnsi"/>
          <w:bCs/>
          <w:iCs/>
          <w:sz w:val="22"/>
          <w:szCs w:val="22"/>
        </w:rPr>
        <w:t>;</w:t>
      </w:r>
    </w:p>
    <w:p w:rsidR="00FD12A8" w:rsidRPr="002D08EE" w:rsidRDefault="00FD12A8" w:rsidP="00727285">
      <w:pPr>
        <w:pStyle w:val="Odsekzoznamu"/>
        <w:numPr>
          <w:ilvl w:val="0"/>
          <w:numId w:val="4"/>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Zoznam povinných merateľných ukazovateľov; </w:t>
      </w:r>
    </w:p>
    <w:p w:rsidR="00FD12A8" w:rsidRPr="002D08EE" w:rsidRDefault="00FD12A8" w:rsidP="00150B3C">
      <w:pPr>
        <w:pStyle w:val="Odsekzoznamu"/>
        <w:numPr>
          <w:ilvl w:val="0"/>
          <w:numId w:val="4"/>
        </w:numPr>
        <w:autoSpaceDE w:val="0"/>
        <w:autoSpaceDN w:val="0"/>
        <w:adjustRightInd w:val="0"/>
        <w:spacing w:before="120" w:after="120"/>
        <w:jc w:val="both"/>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Predbežná informácia pre žiadateľov o NFP v zmysle čl. 13 Nariadenia Komisie (ES, </w:t>
      </w:r>
      <w:proofErr w:type="spellStart"/>
      <w:r w:rsidRPr="002D08EE">
        <w:rPr>
          <w:rFonts w:asciiTheme="minorHAnsi" w:eastAsiaTheme="minorHAnsi" w:hAnsiTheme="minorHAnsi"/>
          <w:color w:val="000000"/>
          <w:sz w:val="22"/>
          <w:szCs w:val="22"/>
          <w:lang w:eastAsia="en-US"/>
        </w:rPr>
        <w:t>Euratom</w:t>
      </w:r>
      <w:proofErr w:type="spellEnd"/>
      <w:r w:rsidRPr="002D08EE">
        <w:rPr>
          <w:rFonts w:asciiTheme="minorHAnsi" w:eastAsiaTheme="minorHAnsi" w:hAnsiTheme="minorHAnsi"/>
          <w:color w:val="000000"/>
          <w:sz w:val="22"/>
          <w:szCs w:val="22"/>
          <w:lang w:eastAsia="en-US"/>
        </w:rPr>
        <w:t>) č. 1302/2008 o centrálnej databáze vylúčených subjektov (</w:t>
      </w:r>
      <w:hyperlink r:id="rId26" w:history="1">
        <w:r w:rsidR="0042231A" w:rsidRPr="00B1542C">
          <w:rPr>
            <w:rStyle w:val="Hypertextovprepojenie"/>
            <w:rFonts w:asciiTheme="minorHAnsi" w:eastAsiaTheme="minorHAnsi" w:hAnsiTheme="minorHAnsi"/>
            <w:sz w:val="22"/>
            <w:szCs w:val="22"/>
            <w:lang w:eastAsia="en-US"/>
          </w:rPr>
          <w:t>http://www.olaf.vlada.gov.sk/centralna-databaza-vylucenych-subjektov-ced/</w:t>
        </w:r>
      </w:hyperlink>
      <w:r w:rsidR="0042231A">
        <w:rPr>
          <w:rFonts w:asciiTheme="minorHAnsi" w:eastAsiaTheme="minorHAnsi" w:hAnsiTheme="minorHAnsi"/>
          <w:color w:val="000000"/>
          <w:sz w:val="22"/>
          <w:szCs w:val="22"/>
          <w:lang w:eastAsia="en-US"/>
        </w:rPr>
        <w:t xml:space="preserve"> </w:t>
      </w:r>
      <w:r w:rsidRPr="002D08EE">
        <w:rPr>
          <w:rFonts w:asciiTheme="minorHAnsi" w:eastAsiaTheme="minorHAnsi" w:hAnsiTheme="minorHAnsi"/>
          <w:color w:val="000000"/>
          <w:sz w:val="22"/>
          <w:szCs w:val="22"/>
          <w:lang w:eastAsia="en-US"/>
        </w:rPr>
        <w:t xml:space="preserve">); </w:t>
      </w:r>
    </w:p>
    <w:p w:rsidR="00FD12A8" w:rsidRPr="002D08EE" w:rsidRDefault="00FD12A8" w:rsidP="00727285">
      <w:pPr>
        <w:pStyle w:val="Odsekzoznamu"/>
        <w:numPr>
          <w:ilvl w:val="0"/>
          <w:numId w:val="4"/>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Vzory povinnej prílohy k žiadosti o NFP - Opis projektu </w:t>
      </w:r>
    </w:p>
    <w:p w:rsidR="00FD12A8" w:rsidRPr="002D08EE" w:rsidRDefault="00FD12A8" w:rsidP="00727285">
      <w:pPr>
        <w:pStyle w:val="Odsekzoznamu"/>
        <w:numPr>
          <w:ilvl w:val="0"/>
          <w:numId w:val="4"/>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Vzor Výzvy na doplnenie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w:t>
      </w:r>
    </w:p>
    <w:p w:rsidR="00FD12A8" w:rsidRDefault="00FD12A8" w:rsidP="00727285">
      <w:pPr>
        <w:pStyle w:val="Odsekzoznamu"/>
        <w:numPr>
          <w:ilvl w:val="0"/>
          <w:numId w:val="4"/>
        </w:numPr>
        <w:autoSpaceDE w:val="0"/>
        <w:autoSpaceDN w:val="0"/>
        <w:adjustRightInd w:val="0"/>
        <w:spacing w:before="120" w:after="120"/>
        <w:rPr>
          <w:rFonts w:asciiTheme="minorHAnsi" w:eastAsiaTheme="minorHAnsi" w:hAnsiTheme="minorHAnsi"/>
          <w:color w:val="000000"/>
          <w:sz w:val="22"/>
          <w:szCs w:val="22"/>
          <w:lang w:eastAsia="en-US"/>
        </w:rPr>
      </w:pPr>
      <w:r w:rsidRPr="002D08EE">
        <w:rPr>
          <w:rFonts w:asciiTheme="minorHAnsi" w:eastAsiaTheme="minorHAnsi" w:hAnsiTheme="minorHAnsi"/>
          <w:color w:val="000000"/>
          <w:sz w:val="22"/>
          <w:szCs w:val="22"/>
          <w:lang w:eastAsia="en-US"/>
        </w:rPr>
        <w:t xml:space="preserve">Vzor Rozhodnutia </w:t>
      </w:r>
      <w:proofErr w:type="spellStart"/>
      <w:r w:rsidRPr="002D08EE">
        <w:rPr>
          <w:rFonts w:asciiTheme="minorHAnsi" w:eastAsiaTheme="minorHAnsi" w:hAnsiTheme="minorHAnsi"/>
          <w:color w:val="000000"/>
          <w:sz w:val="22"/>
          <w:szCs w:val="22"/>
          <w:lang w:eastAsia="en-US"/>
        </w:rPr>
        <w:t>ŽoNFP</w:t>
      </w:r>
      <w:proofErr w:type="spellEnd"/>
      <w:r w:rsidRPr="002D08EE">
        <w:rPr>
          <w:rFonts w:asciiTheme="minorHAnsi" w:eastAsiaTheme="minorHAnsi" w:hAnsiTheme="minorHAnsi"/>
          <w:color w:val="000000"/>
          <w:sz w:val="22"/>
          <w:szCs w:val="22"/>
          <w:lang w:eastAsia="en-US"/>
        </w:rPr>
        <w:t xml:space="preserve"> (o schválení, neschválení, zastavení konania) </w:t>
      </w:r>
    </w:p>
    <w:p w:rsidR="00343ECF" w:rsidRPr="002D08EE" w:rsidRDefault="00343ECF" w:rsidP="00727285">
      <w:pPr>
        <w:pStyle w:val="Odsekzoznamu"/>
        <w:numPr>
          <w:ilvl w:val="0"/>
          <w:numId w:val="4"/>
        </w:numPr>
        <w:autoSpaceDE w:val="0"/>
        <w:autoSpaceDN w:val="0"/>
        <w:adjustRightInd w:val="0"/>
        <w:spacing w:before="120" w:after="120"/>
        <w:rPr>
          <w:rFonts w:asciiTheme="minorHAnsi" w:eastAsiaTheme="minorHAnsi" w:hAnsiTheme="minorHAnsi"/>
          <w:color w:val="000000"/>
          <w:sz w:val="22"/>
          <w:szCs w:val="22"/>
          <w:lang w:eastAsia="en-US"/>
        </w:rPr>
      </w:pPr>
      <w:r>
        <w:rPr>
          <w:rFonts w:asciiTheme="minorHAnsi" w:eastAsiaTheme="minorHAnsi" w:hAnsiTheme="minorHAnsi"/>
          <w:color w:val="000000"/>
          <w:sz w:val="22"/>
          <w:szCs w:val="22"/>
          <w:lang w:eastAsia="en-US"/>
        </w:rPr>
        <w:t xml:space="preserve">Vzor </w:t>
      </w:r>
      <w:r w:rsidR="000D6D0F">
        <w:rPr>
          <w:rFonts w:asciiTheme="minorHAnsi" w:eastAsiaTheme="minorHAnsi" w:hAnsiTheme="minorHAnsi"/>
          <w:color w:val="000000"/>
          <w:sz w:val="22"/>
          <w:szCs w:val="22"/>
          <w:lang w:eastAsia="en-US"/>
        </w:rPr>
        <w:t>povinnej prílohy - Č</w:t>
      </w:r>
      <w:r>
        <w:rPr>
          <w:rFonts w:asciiTheme="minorHAnsi" w:eastAsiaTheme="minorHAnsi" w:hAnsiTheme="minorHAnsi"/>
          <w:color w:val="000000"/>
          <w:sz w:val="22"/>
          <w:szCs w:val="22"/>
          <w:lang w:eastAsia="en-US"/>
        </w:rPr>
        <w:t>estné vyhláseni</w:t>
      </w:r>
      <w:r w:rsidR="000D6D0F">
        <w:rPr>
          <w:rFonts w:asciiTheme="minorHAnsi" w:eastAsiaTheme="minorHAnsi" w:hAnsiTheme="minorHAnsi"/>
          <w:color w:val="000000"/>
          <w:sz w:val="22"/>
          <w:szCs w:val="22"/>
          <w:lang w:eastAsia="en-US"/>
        </w:rPr>
        <w:t>e</w:t>
      </w:r>
      <w:r>
        <w:rPr>
          <w:rFonts w:asciiTheme="minorHAnsi" w:eastAsiaTheme="minorHAnsi" w:hAnsiTheme="minorHAnsi"/>
          <w:color w:val="000000"/>
          <w:sz w:val="22"/>
          <w:szCs w:val="22"/>
          <w:lang w:eastAsia="en-US"/>
        </w:rPr>
        <w:t xml:space="preserve"> partnera</w:t>
      </w:r>
      <w:r w:rsidR="000D6D0F">
        <w:rPr>
          <w:rFonts w:asciiTheme="minorHAnsi" w:eastAsiaTheme="minorHAnsi" w:hAnsiTheme="minorHAnsi"/>
          <w:color w:val="000000"/>
          <w:sz w:val="22"/>
          <w:szCs w:val="22"/>
          <w:lang w:eastAsia="en-US"/>
        </w:rPr>
        <w:t xml:space="preserve"> žiadateľa o NFP</w:t>
      </w:r>
    </w:p>
    <w:p w:rsidR="006829FC" w:rsidRPr="002D08EE" w:rsidRDefault="006829FC" w:rsidP="00727285">
      <w:pPr>
        <w:spacing w:before="120" w:after="120"/>
        <w:rPr>
          <w:rFonts w:asciiTheme="minorHAnsi" w:hAnsiTheme="minorHAnsi"/>
        </w:rPr>
      </w:pPr>
    </w:p>
    <w:p w:rsidR="00400374" w:rsidRPr="00727285" w:rsidRDefault="00400374" w:rsidP="00727285">
      <w:pPr>
        <w:spacing w:before="120" w:after="120"/>
      </w:pPr>
    </w:p>
    <w:sectPr w:rsidR="00400374" w:rsidRPr="00727285">
      <w:head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282" w:rsidRDefault="005A1282" w:rsidP="006829FC">
      <w:r>
        <w:separator/>
      </w:r>
    </w:p>
  </w:endnote>
  <w:endnote w:type="continuationSeparator" w:id="0">
    <w:p w:rsidR="005A1282" w:rsidRDefault="005A1282" w:rsidP="0068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282" w:rsidRDefault="005A1282" w:rsidP="006829FC">
      <w:r>
        <w:separator/>
      </w:r>
    </w:p>
  </w:footnote>
  <w:footnote w:type="continuationSeparator" w:id="0">
    <w:p w:rsidR="005A1282" w:rsidRDefault="005A1282" w:rsidP="006829FC">
      <w:r>
        <w:continuationSeparator/>
      </w:r>
    </w:p>
  </w:footnote>
  <w:footnote w:id="1">
    <w:p w:rsidR="005A1282" w:rsidRDefault="005A1282" w:rsidP="002D76F0">
      <w:pPr>
        <w:pStyle w:val="Textpoznmkypodiarou"/>
        <w:jc w:val="both"/>
      </w:pPr>
      <w:r>
        <w:rPr>
          <w:rStyle w:val="Odkaznapoznmkupodiarou"/>
          <w:rFonts w:eastAsiaTheme="majorEastAsia"/>
        </w:rPr>
        <w:footnoteRef/>
      </w:r>
      <w:r>
        <w:t xml:space="preserve"> Po </w:t>
      </w:r>
      <w:r w:rsidRPr="0032281B">
        <w:t>udelen</w:t>
      </w:r>
      <w:r>
        <w:t>í</w:t>
      </w:r>
      <w:r w:rsidRPr="0032281B">
        <w:t xml:space="preserve"> výnimk</w:t>
      </w:r>
      <w:r>
        <w:t>y</w:t>
      </w:r>
      <w:r w:rsidRPr="0032281B">
        <w:t xml:space="preserve"> z maximálnej dĺžky na schvaľovací proces</w:t>
      </w:r>
      <w:r>
        <w:t xml:space="preserve"> v súlade s kapitolou 1.2, ods. 3, písm. d) Systému riadenia EŠIF</w:t>
      </w:r>
    </w:p>
  </w:footnote>
  <w:footnote w:id="2">
    <w:p w:rsidR="005A1282" w:rsidRDefault="005A1282" w:rsidP="006D79B5">
      <w:pPr>
        <w:pStyle w:val="Textpoznmkypodiarou"/>
      </w:pPr>
      <w:r>
        <w:rPr>
          <w:rStyle w:val="Odkaznapoznmkupodiarou"/>
        </w:rPr>
        <w:footnoteRef/>
      </w:r>
      <w:r>
        <w:t xml:space="preserve"> </w:t>
      </w:r>
      <w:r w:rsidRPr="00B24B22">
        <w:t>Zákon č. 91/2016 Z. z. o trestnej zodpovednosti právnických osôb a o zmene a doplnení niektorých zákonov</w:t>
      </w:r>
    </w:p>
  </w:footnote>
  <w:footnote w:id="3">
    <w:p w:rsidR="005A1282" w:rsidRDefault="005A1282" w:rsidP="000D6D0F">
      <w:pPr>
        <w:pStyle w:val="Textpoznmkypodiarou"/>
      </w:pPr>
      <w:r>
        <w:rPr>
          <w:rStyle w:val="Odkaznapoznmkupodiarou"/>
        </w:rPr>
        <w:footnoteRef/>
      </w:r>
      <w:r>
        <w:t xml:space="preserve"> </w:t>
      </w:r>
      <w:r w:rsidRPr="00EC2373">
        <w:t>Zákon č. 82/2005 Z. z. o nelegálnej práci a nelegálnom zamestnávaní a o zmene a doplnení niektorých zákonov v znení neskorších predpisov.</w:t>
      </w:r>
    </w:p>
  </w:footnote>
  <w:footnote w:id="4">
    <w:p w:rsidR="005A1282" w:rsidRDefault="005A1282" w:rsidP="00287F44">
      <w:pPr>
        <w:pStyle w:val="Textpoznmkypodiarou"/>
        <w:jc w:val="both"/>
      </w:pPr>
      <w:r>
        <w:rPr>
          <w:rStyle w:val="Odkaznapoznmkupodiarou"/>
        </w:rPr>
        <w:footnoteRef/>
      </w:r>
      <w: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282" w:rsidRPr="006829FC" w:rsidRDefault="005A1282" w:rsidP="006829FC">
    <w:r w:rsidRPr="006829FC">
      <w:rPr>
        <w:noProof/>
      </w:rPr>
      <w:drawing>
        <wp:anchor distT="0" distB="0" distL="114300" distR="114300" simplePos="0" relativeHeight="251658240" behindDoc="1" locked="0" layoutInCell="1" allowOverlap="1" wp14:anchorId="74A0C750" wp14:editId="570B3E60">
          <wp:simplePos x="0" y="0"/>
          <wp:positionH relativeFrom="column">
            <wp:posOffset>83185</wp:posOffset>
          </wp:positionH>
          <wp:positionV relativeFrom="paragraph">
            <wp:posOffset>-179070</wp:posOffset>
          </wp:positionV>
          <wp:extent cx="828040" cy="629920"/>
          <wp:effectExtent l="0" t="0" r="0" b="0"/>
          <wp:wrapTight wrapText="bothSides">
            <wp:wrapPolygon edited="0">
              <wp:start x="0" y="0"/>
              <wp:lineTo x="0" y="20903"/>
              <wp:lineTo x="20871" y="20903"/>
              <wp:lineTo x="20871"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6299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6829FC">
      <w:t xml:space="preserve">              Riadiaci orgán pre operačný program Technická pomoc 2014-2020</w:t>
    </w:r>
  </w:p>
  <w:p w:rsidR="005A1282" w:rsidRPr="006829FC" w:rsidRDefault="005A1282">
    <w:pPr>
      <w:pStyle w:val="Hlavika"/>
      <w:rPr>
        <w:b/>
      </w:rPr>
    </w:pPr>
  </w:p>
  <w:p w:rsidR="005A1282" w:rsidRDefault="005A128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6F8F9D"/>
    <w:multiLevelType w:val="hybridMultilevel"/>
    <w:tmpl w:val="1807A2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310885"/>
    <w:multiLevelType w:val="hybridMultilevel"/>
    <w:tmpl w:val="D0E8CC8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A9D587D"/>
    <w:multiLevelType w:val="hybridMultilevel"/>
    <w:tmpl w:val="0D2C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58F42C5"/>
    <w:multiLevelType w:val="hybridMultilevel"/>
    <w:tmpl w:val="810AD592"/>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nsid w:val="16C83644"/>
    <w:multiLevelType w:val="hybridMultilevel"/>
    <w:tmpl w:val="8D4E4B4E"/>
    <w:lvl w:ilvl="0" w:tplc="AED25B50">
      <w:start w:val="3"/>
      <w:numFmt w:val="bullet"/>
      <w:lvlText w:val="-"/>
      <w:lvlJc w:val="left"/>
      <w:pPr>
        <w:ind w:left="720" w:hanging="360"/>
      </w:pPr>
      <w:rPr>
        <w:rFonts w:ascii="Times New Roman" w:eastAsiaTheme="minorEastAsia"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nsid w:val="1CED6319"/>
    <w:multiLevelType w:val="hybridMultilevel"/>
    <w:tmpl w:val="DBE8E4D2"/>
    <w:lvl w:ilvl="0" w:tplc="C554B338">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62E9DFB"/>
    <w:multiLevelType w:val="hybridMultilevel"/>
    <w:tmpl w:val="D2359D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AA52E6D"/>
    <w:multiLevelType w:val="hybridMultilevel"/>
    <w:tmpl w:val="7E4C90C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C8657C6"/>
    <w:multiLevelType w:val="hybridMultilevel"/>
    <w:tmpl w:val="1B0AAF7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9">
    <w:nsid w:val="3CF2516D"/>
    <w:multiLevelType w:val="hybridMultilevel"/>
    <w:tmpl w:val="1124D4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4D003834"/>
    <w:multiLevelType w:val="hybridMultilevel"/>
    <w:tmpl w:val="3B3A9B6E"/>
    <w:lvl w:ilvl="0" w:tplc="C554CB48">
      <w:start w:val="813"/>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nsid w:val="519F7E8E"/>
    <w:multiLevelType w:val="hybridMultilevel"/>
    <w:tmpl w:val="31D6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6A821D0"/>
    <w:multiLevelType w:val="hybridMultilevel"/>
    <w:tmpl w:val="9E9A1C90"/>
    <w:lvl w:ilvl="0" w:tplc="1D54A776">
      <w:start w:val="14"/>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5A30E1E4"/>
    <w:multiLevelType w:val="hybridMultilevel"/>
    <w:tmpl w:val="24A62B3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B033C38"/>
    <w:multiLevelType w:val="hybridMultilevel"/>
    <w:tmpl w:val="D6F299E4"/>
    <w:lvl w:ilvl="0" w:tplc="2DEAEFA4">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5">
    <w:nsid w:val="5D653396"/>
    <w:multiLevelType w:val="multilevel"/>
    <w:tmpl w:val="AF0284A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69769F3"/>
    <w:multiLevelType w:val="hybridMultilevel"/>
    <w:tmpl w:val="9F2CD5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DE964FF"/>
    <w:multiLevelType w:val="hybridMultilevel"/>
    <w:tmpl w:val="95C065E8"/>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nsid w:val="722E232D"/>
    <w:multiLevelType w:val="hybridMultilevel"/>
    <w:tmpl w:val="8120232E"/>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nsid w:val="72656CE1"/>
    <w:multiLevelType w:val="hybridMultilevel"/>
    <w:tmpl w:val="8628255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nsid w:val="750B01C7"/>
    <w:multiLevelType w:val="hybridMultilevel"/>
    <w:tmpl w:val="E28217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75D6521A"/>
    <w:multiLevelType w:val="hybridMultilevel"/>
    <w:tmpl w:val="9F2CD5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20"/>
  </w:num>
  <w:num w:numId="8">
    <w:abstractNumId w:val="13"/>
  </w:num>
  <w:num w:numId="9">
    <w:abstractNumId w:val="6"/>
  </w:num>
  <w:num w:numId="10">
    <w:abstractNumId w:val="0"/>
  </w:num>
  <w:num w:numId="11">
    <w:abstractNumId w:val="12"/>
  </w:num>
  <w:num w:numId="12">
    <w:abstractNumId w:val="9"/>
  </w:num>
  <w:num w:numId="13">
    <w:abstractNumId w:val="3"/>
  </w:num>
  <w:num w:numId="14">
    <w:abstractNumId w:val="2"/>
  </w:num>
  <w:num w:numId="15">
    <w:abstractNumId w:val="1"/>
  </w:num>
  <w:num w:numId="16">
    <w:abstractNumId w:val="19"/>
  </w:num>
  <w:num w:numId="17">
    <w:abstractNumId w:val="18"/>
  </w:num>
  <w:num w:numId="18">
    <w:abstractNumId w:val="7"/>
  </w:num>
  <w:num w:numId="19">
    <w:abstractNumId w:val="5"/>
  </w:num>
  <w:num w:numId="20">
    <w:abstractNumId w:val="14"/>
  </w:num>
  <w:num w:numId="21">
    <w:abstractNumId w:val="16"/>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FC"/>
    <w:rsid w:val="00016C0A"/>
    <w:rsid w:val="00017B90"/>
    <w:rsid w:val="0002715F"/>
    <w:rsid w:val="00055186"/>
    <w:rsid w:val="00080E99"/>
    <w:rsid w:val="000C6A20"/>
    <w:rsid w:val="000D6D0F"/>
    <w:rsid w:val="00104145"/>
    <w:rsid w:val="00115088"/>
    <w:rsid w:val="00150B3C"/>
    <w:rsid w:val="00180C29"/>
    <w:rsid w:val="001912B9"/>
    <w:rsid w:val="001F3ED9"/>
    <w:rsid w:val="00287F44"/>
    <w:rsid w:val="002A7815"/>
    <w:rsid w:val="002B1402"/>
    <w:rsid w:val="002B6CE1"/>
    <w:rsid w:val="002D08EE"/>
    <w:rsid w:val="002D76F0"/>
    <w:rsid w:val="002D771C"/>
    <w:rsid w:val="003041BF"/>
    <w:rsid w:val="00343ECF"/>
    <w:rsid w:val="003A44D9"/>
    <w:rsid w:val="003B517D"/>
    <w:rsid w:val="003C44E2"/>
    <w:rsid w:val="003F2A48"/>
    <w:rsid w:val="003F2AC8"/>
    <w:rsid w:val="003F75F9"/>
    <w:rsid w:val="00400374"/>
    <w:rsid w:val="004065BC"/>
    <w:rsid w:val="0042231A"/>
    <w:rsid w:val="004645BC"/>
    <w:rsid w:val="00491D71"/>
    <w:rsid w:val="004A72B2"/>
    <w:rsid w:val="004C642B"/>
    <w:rsid w:val="004D3F96"/>
    <w:rsid w:val="004D7BF2"/>
    <w:rsid w:val="00503622"/>
    <w:rsid w:val="00516775"/>
    <w:rsid w:val="00541E08"/>
    <w:rsid w:val="005A1282"/>
    <w:rsid w:val="005A7C33"/>
    <w:rsid w:val="005D1398"/>
    <w:rsid w:val="005F0C5A"/>
    <w:rsid w:val="006148A8"/>
    <w:rsid w:val="006246F6"/>
    <w:rsid w:val="00631405"/>
    <w:rsid w:val="0064265D"/>
    <w:rsid w:val="00651551"/>
    <w:rsid w:val="00654DDD"/>
    <w:rsid w:val="00667992"/>
    <w:rsid w:val="00673B81"/>
    <w:rsid w:val="006829FC"/>
    <w:rsid w:val="00692B9A"/>
    <w:rsid w:val="006B0064"/>
    <w:rsid w:val="006D79B5"/>
    <w:rsid w:val="006F20F1"/>
    <w:rsid w:val="006F5DBC"/>
    <w:rsid w:val="00723C75"/>
    <w:rsid w:val="00727285"/>
    <w:rsid w:val="00736DE3"/>
    <w:rsid w:val="00761784"/>
    <w:rsid w:val="00773ED6"/>
    <w:rsid w:val="007775EB"/>
    <w:rsid w:val="007A6843"/>
    <w:rsid w:val="007C7205"/>
    <w:rsid w:val="007D4E2D"/>
    <w:rsid w:val="007F24AF"/>
    <w:rsid w:val="008216B8"/>
    <w:rsid w:val="008540BD"/>
    <w:rsid w:val="008929FF"/>
    <w:rsid w:val="008D5AB1"/>
    <w:rsid w:val="0091371E"/>
    <w:rsid w:val="00926015"/>
    <w:rsid w:val="00963010"/>
    <w:rsid w:val="00966802"/>
    <w:rsid w:val="00992E46"/>
    <w:rsid w:val="009A39CA"/>
    <w:rsid w:val="009C2C8A"/>
    <w:rsid w:val="00A20759"/>
    <w:rsid w:val="00A22AA4"/>
    <w:rsid w:val="00A474BB"/>
    <w:rsid w:val="00A71778"/>
    <w:rsid w:val="00A86C8C"/>
    <w:rsid w:val="00A9234D"/>
    <w:rsid w:val="00AD7746"/>
    <w:rsid w:val="00AE0376"/>
    <w:rsid w:val="00AE1B29"/>
    <w:rsid w:val="00AE6D4D"/>
    <w:rsid w:val="00B052BB"/>
    <w:rsid w:val="00B11D81"/>
    <w:rsid w:val="00B15795"/>
    <w:rsid w:val="00B1742D"/>
    <w:rsid w:val="00B25D05"/>
    <w:rsid w:val="00B25EF0"/>
    <w:rsid w:val="00B26C9C"/>
    <w:rsid w:val="00B3275F"/>
    <w:rsid w:val="00B47E18"/>
    <w:rsid w:val="00B71188"/>
    <w:rsid w:val="00B91DDF"/>
    <w:rsid w:val="00BE155F"/>
    <w:rsid w:val="00C25D76"/>
    <w:rsid w:val="00C92C97"/>
    <w:rsid w:val="00C94C49"/>
    <w:rsid w:val="00CB2D85"/>
    <w:rsid w:val="00CE3AFB"/>
    <w:rsid w:val="00CF2851"/>
    <w:rsid w:val="00CF63F4"/>
    <w:rsid w:val="00D06C71"/>
    <w:rsid w:val="00D1385F"/>
    <w:rsid w:val="00D23130"/>
    <w:rsid w:val="00D54B8B"/>
    <w:rsid w:val="00D572F8"/>
    <w:rsid w:val="00DD2622"/>
    <w:rsid w:val="00DE79BF"/>
    <w:rsid w:val="00E173C2"/>
    <w:rsid w:val="00E21103"/>
    <w:rsid w:val="00E529BF"/>
    <w:rsid w:val="00E633F8"/>
    <w:rsid w:val="00EA7C0C"/>
    <w:rsid w:val="00EB52B7"/>
    <w:rsid w:val="00EC5280"/>
    <w:rsid w:val="00EC6D47"/>
    <w:rsid w:val="00F12069"/>
    <w:rsid w:val="00F17564"/>
    <w:rsid w:val="00F5453A"/>
    <w:rsid w:val="00F808E3"/>
    <w:rsid w:val="00FA1E27"/>
    <w:rsid w:val="00FB4A6D"/>
    <w:rsid w:val="00FC5E14"/>
    <w:rsid w:val="00FD12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29F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A72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A72B2"/>
    <w:rPr>
      <w:rFonts w:asciiTheme="majorHAnsi" w:eastAsiaTheme="majorEastAsia" w:hAnsiTheme="majorHAnsi" w:cstheme="majorBidi"/>
      <w:b/>
      <w:bCs/>
      <w:color w:val="365F91" w:themeColor="accent1" w:themeShade="BF"/>
      <w:sz w:val="28"/>
      <w:szCs w:val="28"/>
      <w:lang w:eastAsia="sk-SK"/>
    </w:rPr>
  </w:style>
  <w:style w:type="paragraph" w:styleId="Odsekzoznamu">
    <w:name w:val="List Paragraph"/>
    <w:aliases w:val="body,Odsek zoznamu2,List Paragraph"/>
    <w:basedOn w:val="Normlny"/>
    <w:link w:val="OdsekzoznamuChar"/>
    <w:uiPriority w:val="34"/>
    <w:qFormat/>
    <w:rsid w:val="004A72B2"/>
    <w:pPr>
      <w:ind w:left="720"/>
      <w:contextualSpacing/>
    </w:pPr>
  </w:style>
  <w:style w:type="paragraph" w:styleId="Hlavikaobsahu">
    <w:name w:val="TOC Heading"/>
    <w:basedOn w:val="Nadpis1"/>
    <w:next w:val="Normlny"/>
    <w:uiPriority w:val="39"/>
    <w:semiHidden/>
    <w:unhideWhenUsed/>
    <w:qFormat/>
    <w:rsid w:val="004A72B2"/>
    <w:pPr>
      <w:spacing w:line="276" w:lineRule="auto"/>
      <w:outlineLvl w:val="9"/>
    </w:p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nhideWhenUsed/>
    <w:rsid w:val="006829FC"/>
    <w:rPr>
      <w:sz w:val="20"/>
      <w:szCs w:val="20"/>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basedOn w:val="Predvolenpsmoodseku"/>
    <w:link w:val="Textpoznmkypodiarou"/>
    <w:rsid w:val="006829FC"/>
    <w:rPr>
      <w:rFonts w:ascii="Times New Roman" w:eastAsia="Times New Roman" w:hAnsi="Times New Roman" w:cs="Times New Roman"/>
      <w:sz w:val="20"/>
      <w:szCs w:val="20"/>
      <w:lang w:eastAsia="sk-SK"/>
    </w:rPr>
  </w:style>
  <w:style w:type="paragraph" w:styleId="Nzov">
    <w:name w:val="Title"/>
    <w:basedOn w:val="Normlny"/>
    <w:next w:val="Normlny"/>
    <w:link w:val="NzovChar"/>
    <w:qFormat/>
    <w:rsid w:val="006829FC"/>
    <w:pPr>
      <w:pBdr>
        <w:bottom w:val="single" w:sz="8" w:space="4" w:color="4F81BD" w:themeColor="accent1"/>
      </w:pBdr>
      <w:spacing w:after="300"/>
      <w:contextualSpacing/>
      <w:jc w:val="center"/>
    </w:pPr>
    <w:rPr>
      <w:rFonts w:asciiTheme="majorHAnsi" w:eastAsiaTheme="majorEastAsia" w:hAnsiTheme="majorHAnsi"/>
      <w:color w:val="5F497A" w:themeColor="accent4" w:themeShade="BF"/>
      <w:spacing w:val="5"/>
      <w:kern w:val="28"/>
      <w:sz w:val="52"/>
      <w:szCs w:val="52"/>
    </w:rPr>
  </w:style>
  <w:style w:type="character" w:customStyle="1" w:styleId="NzovChar">
    <w:name w:val="Názov Char"/>
    <w:basedOn w:val="Predvolenpsmoodseku"/>
    <w:link w:val="Nzov"/>
    <w:rsid w:val="006829FC"/>
    <w:rPr>
      <w:rFonts w:asciiTheme="majorHAnsi" w:eastAsiaTheme="majorEastAsia" w:hAnsiTheme="majorHAnsi" w:cs="Times New Roman"/>
      <w:color w:val="5F497A" w:themeColor="accent4" w:themeShade="BF"/>
      <w:spacing w:val="5"/>
      <w:kern w:val="28"/>
      <w:sz w:val="52"/>
      <w:szCs w:val="52"/>
      <w:lang w:eastAsia="sk-SK"/>
    </w:rPr>
  </w:style>
  <w:style w:type="character" w:customStyle="1" w:styleId="OdsekzoznamuChar">
    <w:name w:val="Odsek zoznamu Char"/>
    <w:aliases w:val="body Char,Odsek zoznamu2 Char,List Paragraph Char"/>
    <w:basedOn w:val="Predvolenpsmoodseku"/>
    <w:link w:val="Odsekzoznamu"/>
    <w:locked/>
    <w:rsid w:val="006829FC"/>
    <w:rPr>
      <w:rFonts w:ascii="Times New Roman" w:eastAsia="Times New Roman" w:hAnsi="Times New Roman" w:cs="Times New Roman"/>
      <w:sz w:val="24"/>
      <w:szCs w:val="24"/>
      <w:lang w:eastAsia="sk-SK"/>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basedOn w:val="Predvolenpsmoodseku"/>
    <w:link w:val="Char2"/>
    <w:unhideWhenUsed/>
    <w:rsid w:val="006829FC"/>
    <w:rPr>
      <w:rFonts w:ascii="Times New Roman" w:hAnsi="Times New Roman" w:cs="Times New Roman" w:hint="default"/>
      <w:vertAlign w:val="superscript"/>
    </w:rPr>
  </w:style>
  <w:style w:type="paragraph" w:customStyle="1" w:styleId="Default">
    <w:name w:val="Default"/>
    <w:rsid w:val="006829F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6829FC"/>
    <w:rPr>
      <w:rFonts w:ascii="Tahoma" w:hAnsi="Tahoma" w:cs="Tahoma"/>
      <w:sz w:val="16"/>
      <w:szCs w:val="16"/>
    </w:rPr>
  </w:style>
  <w:style w:type="character" w:customStyle="1" w:styleId="TextbublinyChar">
    <w:name w:val="Text bubliny Char"/>
    <w:basedOn w:val="Predvolenpsmoodseku"/>
    <w:link w:val="Textbubliny"/>
    <w:uiPriority w:val="99"/>
    <w:semiHidden/>
    <w:rsid w:val="006829FC"/>
    <w:rPr>
      <w:rFonts w:ascii="Tahoma" w:eastAsia="Times New Roman" w:hAnsi="Tahoma" w:cs="Tahoma"/>
      <w:sz w:val="16"/>
      <w:szCs w:val="16"/>
      <w:lang w:eastAsia="sk-SK"/>
    </w:rPr>
  </w:style>
  <w:style w:type="paragraph" w:styleId="Hlavika">
    <w:name w:val="header"/>
    <w:basedOn w:val="Normlny"/>
    <w:link w:val="HlavikaChar"/>
    <w:uiPriority w:val="99"/>
    <w:unhideWhenUsed/>
    <w:rsid w:val="006829FC"/>
    <w:pPr>
      <w:tabs>
        <w:tab w:val="center" w:pos="4536"/>
        <w:tab w:val="right" w:pos="9072"/>
      </w:tabs>
    </w:pPr>
  </w:style>
  <w:style w:type="character" w:customStyle="1" w:styleId="HlavikaChar">
    <w:name w:val="Hlavička Char"/>
    <w:basedOn w:val="Predvolenpsmoodseku"/>
    <w:link w:val="Hlavika"/>
    <w:uiPriority w:val="99"/>
    <w:rsid w:val="006829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829FC"/>
    <w:pPr>
      <w:tabs>
        <w:tab w:val="center" w:pos="4536"/>
        <w:tab w:val="right" w:pos="9072"/>
      </w:tabs>
    </w:pPr>
  </w:style>
  <w:style w:type="character" w:customStyle="1" w:styleId="PtaChar">
    <w:name w:val="Päta Char"/>
    <w:basedOn w:val="Predvolenpsmoodseku"/>
    <w:link w:val="Pta"/>
    <w:uiPriority w:val="99"/>
    <w:rsid w:val="006829FC"/>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6829FC"/>
    <w:rPr>
      <w:sz w:val="16"/>
      <w:szCs w:val="16"/>
    </w:rPr>
  </w:style>
  <w:style w:type="paragraph" w:styleId="Textkomentra">
    <w:name w:val="annotation text"/>
    <w:basedOn w:val="Normlny"/>
    <w:link w:val="TextkomentraChar"/>
    <w:uiPriority w:val="99"/>
    <w:semiHidden/>
    <w:unhideWhenUsed/>
    <w:rsid w:val="006829FC"/>
    <w:rPr>
      <w:sz w:val="20"/>
      <w:szCs w:val="20"/>
    </w:rPr>
  </w:style>
  <w:style w:type="character" w:customStyle="1" w:styleId="TextkomentraChar">
    <w:name w:val="Text komentára Char"/>
    <w:basedOn w:val="Predvolenpsmoodseku"/>
    <w:link w:val="Textkomentra"/>
    <w:uiPriority w:val="99"/>
    <w:semiHidden/>
    <w:rsid w:val="006829F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829FC"/>
    <w:rPr>
      <w:b/>
      <w:bCs/>
    </w:rPr>
  </w:style>
  <w:style w:type="character" w:customStyle="1" w:styleId="PredmetkomentraChar">
    <w:name w:val="Predmet komentára Char"/>
    <w:basedOn w:val="TextkomentraChar"/>
    <w:link w:val="Predmetkomentra"/>
    <w:uiPriority w:val="99"/>
    <w:semiHidden/>
    <w:rsid w:val="006829FC"/>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AE6D4D"/>
    <w:rPr>
      <w:color w:val="0000FF" w:themeColor="hyperlink"/>
      <w:u w:val="single"/>
    </w:rPr>
  </w:style>
  <w:style w:type="table" w:styleId="Mriekatabuky">
    <w:name w:val="Table Grid"/>
    <w:basedOn w:val="Normlnatabuka"/>
    <w:uiPriority w:val="59"/>
    <w:rsid w:val="003F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rsid w:val="000C6A20"/>
    <w:pPr>
      <w:spacing w:after="160" w:line="240" w:lineRule="exact"/>
    </w:pPr>
    <w:rPr>
      <w:rFonts w:eastAsiaTheme="minorHAnsi"/>
      <w:sz w:val="22"/>
      <w:szCs w:val="22"/>
      <w:vertAlign w:val="superscript"/>
      <w:lang w:eastAsia="en-US"/>
    </w:rPr>
  </w:style>
  <w:style w:type="paragraph" w:styleId="Revzia">
    <w:name w:val="Revision"/>
    <w:hidden/>
    <w:uiPriority w:val="99"/>
    <w:semiHidden/>
    <w:rsid w:val="00A20759"/>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314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829FC"/>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A72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A72B2"/>
    <w:rPr>
      <w:rFonts w:asciiTheme="majorHAnsi" w:eastAsiaTheme="majorEastAsia" w:hAnsiTheme="majorHAnsi" w:cstheme="majorBidi"/>
      <w:b/>
      <w:bCs/>
      <w:color w:val="365F91" w:themeColor="accent1" w:themeShade="BF"/>
      <w:sz w:val="28"/>
      <w:szCs w:val="28"/>
      <w:lang w:eastAsia="sk-SK"/>
    </w:rPr>
  </w:style>
  <w:style w:type="paragraph" w:styleId="Odsekzoznamu">
    <w:name w:val="List Paragraph"/>
    <w:aliases w:val="body,Odsek zoznamu2,List Paragraph"/>
    <w:basedOn w:val="Normlny"/>
    <w:link w:val="OdsekzoznamuChar"/>
    <w:uiPriority w:val="34"/>
    <w:qFormat/>
    <w:rsid w:val="004A72B2"/>
    <w:pPr>
      <w:ind w:left="720"/>
      <w:contextualSpacing/>
    </w:pPr>
  </w:style>
  <w:style w:type="paragraph" w:styleId="Hlavikaobsahu">
    <w:name w:val="TOC Heading"/>
    <w:basedOn w:val="Nadpis1"/>
    <w:next w:val="Normlny"/>
    <w:uiPriority w:val="39"/>
    <w:semiHidden/>
    <w:unhideWhenUsed/>
    <w:qFormat/>
    <w:rsid w:val="004A72B2"/>
    <w:pPr>
      <w:spacing w:line="276" w:lineRule="auto"/>
      <w:outlineLvl w:val="9"/>
    </w:p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nhideWhenUsed/>
    <w:rsid w:val="006829FC"/>
    <w:rPr>
      <w:sz w:val="20"/>
      <w:szCs w:val="20"/>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basedOn w:val="Predvolenpsmoodseku"/>
    <w:link w:val="Textpoznmkypodiarou"/>
    <w:rsid w:val="006829FC"/>
    <w:rPr>
      <w:rFonts w:ascii="Times New Roman" w:eastAsia="Times New Roman" w:hAnsi="Times New Roman" w:cs="Times New Roman"/>
      <w:sz w:val="20"/>
      <w:szCs w:val="20"/>
      <w:lang w:eastAsia="sk-SK"/>
    </w:rPr>
  </w:style>
  <w:style w:type="paragraph" w:styleId="Nzov">
    <w:name w:val="Title"/>
    <w:basedOn w:val="Normlny"/>
    <w:next w:val="Normlny"/>
    <w:link w:val="NzovChar"/>
    <w:qFormat/>
    <w:rsid w:val="006829FC"/>
    <w:pPr>
      <w:pBdr>
        <w:bottom w:val="single" w:sz="8" w:space="4" w:color="4F81BD" w:themeColor="accent1"/>
      </w:pBdr>
      <w:spacing w:after="300"/>
      <w:contextualSpacing/>
      <w:jc w:val="center"/>
    </w:pPr>
    <w:rPr>
      <w:rFonts w:asciiTheme="majorHAnsi" w:eastAsiaTheme="majorEastAsia" w:hAnsiTheme="majorHAnsi"/>
      <w:color w:val="5F497A" w:themeColor="accent4" w:themeShade="BF"/>
      <w:spacing w:val="5"/>
      <w:kern w:val="28"/>
      <w:sz w:val="52"/>
      <w:szCs w:val="52"/>
    </w:rPr>
  </w:style>
  <w:style w:type="character" w:customStyle="1" w:styleId="NzovChar">
    <w:name w:val="Názov Char"/>
    <w:basedOn w:val="Predvolenpsmoodseku"/>
    <w:link w:val="Nzov"/>
    <w:rsid w:val="006829FC"/>
    <w:rPr>
      <w:rFonts w:asciiTheme="majorHAnsi" w:eastAsiaTheme="majorEastAsia" w:hAnsiTheme="majorHAnsi" w:cs="Times New Roman"/>
      <w:color w:val="5F497A" w:themeColor="accent4" w:themeShade="BF"/>
      <w:spacing w:val="5"/>
      <w:kern w:val="28"/>
      <w:sz w:val="52"/>
      <w:szCs w:val="52"/>
      <w:lang w:eastAsia="sk-SK"/>
    </w:rPr>
  </w:style>
  <w:style w:type="character" w:customStyle="1" w:styleId="OdsekzoznamuChar">
    <w:name w:val="Odsek zoznamu Char"/>
    <w:aliases w:val="body Char,Odsek zoznamu2 Char,List Paragraph Char"/>
    <w:basedOn w:val="Predvolenpsmoodseku"/>
    <w:link w:val="Odsekzoznamu"/>
    <w:locked/>
    <w:rsid w:val="006829FC"/>
    <w:rPr>
      <w:rFonts w:ascii="Times New Roman" w:eastAsia="Times New Roman" w:hAnsi="Times New Roman" w:cs="Times New Roman"/>
      <w:sz w:val="24"/>
      <w:szCs w:val="24"/>
      <w:lang w:eastAsia="sk-SK"/>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basedOn w:val="Predvolenpsmoodseku"/>
    <w:link w:val="Char2"/>
    <w:unhideWhenUsed/>
    <w:rsid w:val="006829FC"/>
    <w:rPr>
      <w:rFonts w:ascii="Times New Roman" w:hAnsi="Times New Roman" w:cs="Times New Roman" w:hint="default"/>
      <w:vertAlign w:val="superscript"/>
    </w:rPr>
  </w:style>
  <w:style w:type="paragraph" w:customStyle="1" w:styleId="Default">
    <w:name w:val="Default"/>
    <w:rsid w:val="006829F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6829FC"/>
    <w:rPr>
      <w:rFonts w:ascii="Tahoma" w:hAnsi="Tahoma" w:cs="Tahoma"/>
      <w:sz w:val="16"/>
      <w:szCs w:val="16"/>
    </w:rPr>
  </w:style>
  <w:style w:type="character" w:customStyle="1" w:styleId="TextbublinyChar">
    <w:name w:val="Text bubliny Char"/>
    <w:basedOn w:val="Predvolenpsmoodseku"/>
    <w:link w:val="Textbubliny"/>
    <w:uiPriority w:val="99"/>
    <w:semiHidden/>
    <w:rsid w:val="006829FC"/>
    <w:rPr>
      <w:rFonts w:ascii="Tahoma" w:eastAsia="Times New Roman" w:hAnsi="Tahoma" w:cs="Tahoma"/>
      <w:sz w:val="16"/>
      <w:szCs w:val="16"/>
      <w:lang w:eastAsia="sk-SK"/>
    </w:rPr>
  </w:style>
  <w:style w:type="paragraph" w:styleId="Hlavika">
    <w:name w:val="header"/>
    <w:basedOn w:val="Normlny"/>
    <w:link w:val="HlavikaChar"/>
    <w:uiPriority w:val="99"/>
    <w:unhideWhenUsed/>
    <w:rsid w:val="006829FC"/>
    <w:pPr>
      <w:tabs>
        <w:tab w:val="center" w:pos="4536"/>
        <w:tab w:val="right" w:pos="9072"/>
      </w:tabs>
    </w:pPr>
  </w:style>
  <w:style w:type="character" w:customStyle="1" w:styleId="HlavikaChar">
    <w:name w:val="Hlavička Char"/>
    <w:basedOn w:val="Predvolenpsmoodseku"/>
    <w:link w:val="Hlavika"/>
    <w:uiPriority w:val="99"/>
    <w:rsid w:val="006829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829FC"/>
    <w:pPr>
      <w:tabs>
        <w:tab w:val="center" w:pos="4536"/>
        <w:tab w:val="right" w:pos="9072"/>
      </w:tabs>
    </w:pPr>
  </w:style>
  <w:style w:type="character" w:customStyle="1" w:styleId="PtaChar">
    <w:name w:val="Päta Char"/>
    <w:basedOn w:val="Predvolenpsmoodseku"/>
    <w:link w:val="Pta"/>
    <w:uiPriority w:val="99"/>
    <w:rsid w:val="006829FC"/>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6829FC"/>
    <w:rPr>
      <w:sz w:val="16"/>
      <w:szCs w:val="16"/>
    </w:rPr>
  </w:style>
  <w:style w:type="paragraph" w:styleId="Textkomentra">
    <w:name w:val="annotation text"/>
    <w:basedOn w:val="Normlny"/>
    <w:link w:val="TextkomentraChar"/>
    <w:uiPriority w:val="99"/>
    <w:semiHidden/>
    <w:unhideWhenUsed/>
    <w:rsid w:val="006829FC"/>
    <w:rPr>
      <w:sz w:val="20"/>
      <w:szCs w:val="20"/>
    </w:rPr>
  </w:style>
  <w:style w:type="character" w:customStyle="1" w:styleId="TextkomentraChar">
    <w:name w:val="Text komentára Char"/>
    <w:basedOn w:val="Predvolenpsmoodseku"/>
    <w:link w:val="Textkomentra"/>
    <w:uiPriority w:val="99"/>
    <w:semiHidden/>
    <w:rsid w:val="006829F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829FC"/>
    <w:rPr>
      <w:b/>
      <w:bCs/>
    </w:rPr>
  </w:style>
  <w:style w:type="character" w:customStyle="1" w:styleId="PredmetkomentraChar">
    <w:name w:val="Predmet komentára Char"/>
    <w:basedOn w:val="TextkomentraChar"/>
    <w:link w:val="Predmetkomentra"/>
    <w:uiPriority w:val="99"/>
    <w:semiHidden/>
    <w:rsid w:val="006829FC"/>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AE6D4D"/>
    <w:rPr>
      <w:color w:val="0000FF" w:themeColor="hyperlink"/>
      <w:u w:val="single"/>
    </w:rPr>
  </w:style>
  <w:style w:type="table" w:styleId="Mriekatabuky">
    <w:name w:val="Table Grid"/>
    <w:basedOn w:val="Normlnatabuka"/>
    <w:uiPriority w:val="59"/>
    <w:rsid w:val="003F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lny"/>
    <w:link w:val="Odkaznapoznmkupodiarou"/>
    <w:uiPriority w:val="99"/>
    <w:rsid w:val="000C6A20"/>
    <w:pPr>
      <w:spacing w:after="160" w:line="240" w:lineRule="exact"/>
    </w:pPr>
    <w:rPr>
      <w:rFonts w:eastAsiaTheme="minorHAnsi"/>
      <w:sz w:val="22"/>
      <w:szCs w:val="22"/>
      <w:vertAlign w:val="superscript"/>
      <w:lang w:eastAsia="en-US"/>
    </w:rPr>
  </w:style>
  <w:style w:type="paragraph" w:styleId="Revzia">
    <w:name w:val="Revision"/>
    <w:hidden/>
    <w:uiPriority w:val="99"/>
    <w:semiHidden/>
    <w:rsid w:val="00A20759"/>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314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861920">
      <w:bodyDiv w:val="1"/>
      <w:marLeft w:val="0"/>
      <w:marRight w:val="0"/>
      <w:marTop w:val="0"/>
      <w:marBottom w:val="0"/>
      <w:divBdr>
        <w:top w:val="none" w:sz="0" w:space="0" w:color="auto"/>
        <w:left w:val="none" w:sz="0" w:space="0" w:color="auto"/>
        <w:bottom w:val="none" w:sz="0" w:space="0" w:color="auto"/>
        <w:right w:val="none" w:sz="0" w:space="0" w:color="auto"/>
      </w:divBdr>
    </w:div>
    <w:div w:id="1410617662">
      <w:bodyDiv w:val="1"/>
      <w:marLeft w:val="0"/>
      <w:marRight w:val="0"/>
      <w:marTop w:val="0"/>
      <w:marBottom w:val="0"/>
      <w:divBdr>
        <w:top w:val="none" w:sz="0" w:space="0" w:color="auto"/>
        <w:left w:val="none" w:sz="0" w:space="0" w:color="auto"/>
        <w:bottom w:val="none" w:sz="0" w:space="0" w:color="auto"/>
        <w:right w:val="none" w:sz="0" w:space="0" w:color="auto"/>
      </w:divBdr>
    </w:div>
    <w:div w:id="1418752080">
      <w:bodyDiv w:val="1"/>
      <w:marLeft w:val="0"/>
      <w:marRight w:val="0"/>
      <w:marTop w:val="0"/>
      <w:marBottom w:val="0"/>
      <w:divBdr>
        <w:top w:val="none" w:sz="0" w:space="0" w:color="auto"/>
        <w:left w:val="none" w:sz="0" w:space="0" w:color="auto"/>
        <w:bottom w:val="none" w:sz="0" w:space="0" w:color="auto"/>
        <w:right w:val="none" w:sz="0" w:space="0" w:color="auto"/>
      </w:divBdr>
    </w:div>
    <w:div w:id="214672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inedu.sk/vysoke-skoly-v-slovenskej-republike/" TargetMode="External"/><Relationship Id="rId18" Type="http://schemas.openxmlformats.org/officeDocument/2006/relationships/hyperlink" Target="http://www.partnerskadohoda.gov.sk/metodicke-pokyny-cko/" TargetMode="External"/><Relationship Id="rId26" Type="http://schemas.openxmlformats.org/officeDocument/2006/relationships/hyperlink" Target="http://www.olaf.vlada.gov.sk/centralna-databaza-vylucenych-subjektov-ced/" TargetMode="External"/><Relationship Id="rId3" Type="http://schemas.openxmlformats.org/officeDocument/2006/relationships/styles" Target="styles.xml"/><Relationship Id="rId21" Type="http://schemas.openxmlformats.org/officeDocument/2006/relationships/hyperlink" Target="http://www.optp.vlada.gov.sk/ine-dokumenty/" TargetMode="External"/><Relationship Id="rId7" Type="http://schemas.openxmlformats.org/officeDocument/2006/relationships/footnotes" Target="footnotes.xml"/><Relationship Id="rId12" Type="http://schemas.openxmlformats.org/officeDocument/2006/relationships/hyperlink" Target="http://www.partnerskadohoda.gov.sk/" TargetMode="External"/><Relationship Id="rId17" Type="http://schemas.openxmlformats.org/officeDocument/2006/relationships/hyperlink" Target="http://www.partnerskadohoda.gov.sk/metodicke-pokyny-cko/" TargetMode="External"/><Relationship Id="rId25" Type="http://schemas.openxmlformats.org/officeDocument/2006/relationships/hyperlink" Target="http://www.ecas.org/" TargetMode="External"/><Relationship Id="rId2" Type="http://schemas.openxmlformats.org/officeDocument/2006/relationships/numbering" Target="numbering.xml"/><Relationship Id="rId16" Type="http://schemas.openxmlformats.org/officeDocument/2006/relationships/hyperlink" Target="http://www.optp.vlada.gov.sk/programovy-dokument/" TargetMode="External"/><Relationship Id="rId20" Type="http://schemas.openxmlformats.org/officeDocument/2006/relationships/hyperlink" Target="http://www.optp.vlada.gov.sk/ine-dokumen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ptp.vlada.gov.sk" TargetMode="External"/><Relationship Id="rId24" Type="http://schemas.openxmlformats.org/officeDocument/2006/relationships/hyperlink" Target="http://www.partnerskadohoda.gov.sk/273-sk/koordinacia-synergii-a-komplementarit-medzi-esif-a-ostatnymi-nastrojmi-podpory-eu-a-sr/" TargetMode="External"/><Relationship Id="rId5" Type="http://schemas.openxmlformats.org/officeDocument/2006/relationships/settings" Target="settings.xml"/><Relationship Id="rId15" Type="http://schemas.openxmlformats.org/officeDocument/2006/relationships/hyperlink" Target="http://www.optp.vlada.gov.sk/ine-dokumenty/" TargetMode="External"/><Relationship Id="rId23" Type="http://schemas.openxmlformats.org/officeDocument/2006/relationships/hyperlink" Target="http://www.optp.vlada.gov.sk/ine-dokumenty/" TargetMode="External"/><Relationship Id="rId28" Type="http://schemas.openxmlformats.org/officeDocument/2006/relationships/fontTable" Target="fontTable.xml"/><Relationship Id="rId10" Type="http://schemas.openxmlformats.org/officeDocument/2006/relationships/hyperlink" Target="mailto:projektyoptp@vlada.gov.sk" TargetMode="External"/><Relationship Id="rId19" Type="http://schemas.openxmlformats.org/officeDocument/2006/relationships/hyperlink" Target="http://www.optp.vlada.gov.sk/ine-dokumenty/" TargetMode="External"/><Relationship Id="rId4" Type="http://schemas.microsoft.com/office/2007/relationships/stylesWithEffects" Target="stylesWithEffects.xml"/><Relationship Id="rId9" Type="http://schemas.openxmlformats.org/officeDocument/2006/relationships/hyperlink" Target="http://optp.vlada.gov.sk" TargetMode="External"/><Relationship Id="rId14" Type="http://schemas.openxmlformats.org/officeDocument/2006/relationships/hyperlink" Target="http://www.optp.vlada.gov.sk/ine-dokumenty/" TargetMode="External"/><Relationship Id="rId22" Type="http://schemas.openxmlformats.org/officeDocument/2006/relationships/hyperlink" Target="http://www.optp.vlada.gov.sk/ine-dokumenty/"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81778-FFCD-4BA1-B916-0959B4FF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7221</Words>
  <Characters>41161</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MVRR</Company>
  <LinksUpToDate>false</LinksUpToDate>
  <CharactersWithSpaces>48286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CKO</dc:creator>
  <cp:lastModifiedBy>Kopecká Monika</cp:lastModifiedBy>
  <cp:revision>3</cp:revision>
  <dcterms:created xsi:type="dcterms:W3CDTF">2016-12-14T07:48:00Z</dcterms:created>
  <dcterms:modified xsi:type="dcterms:W3CDTF">2016-12-14T07:51:00Z</dcterms:modified>
</cp:coreProperties>
</file>